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EA33" w14:textId="606F6671" w:rsidR="0031685F" w:rsidRDefault="00E54732" w:rsidP="00E54732">
      <w:pPr>
        <w:jc w:val="center"/>
        <w:rPr>
          <w:b/>
          <w:bCs/>
          <w:sz w:val="28"/>
          <w:szCs w:val="28"/>
        </w:rPr>
      </w:pPr>
      <w:r w:rsidRPr="006811AD">
        <w:rPr>
          <w:b/>
          <w:bCs/>
          <w:sz w:val="28"/>
          <w:szCs w:val="28"/>
        </w:rPr>
        <w:t xml:space="preserve">COVID-19 </w:t>
      </w:r>
      <w:r w:rsidR="006811AD" w:rsidRPr="006811AD">
        <w:rPr>
          <w:b/>
          <w:bCs/>
          <w:sz w:val="28"/>
          <w:szCs w:val="28"/>
        </w:rPr>
        <w:t>Client Update</w:t>
      </w:r>
    </w:p>
    <w:p w14:paraId="2CB9F397" w14:textId="505FBC23" w:rsidR="00B310A6" w:rsidRPr="00824F67" w:rsidRDefault="00B310A6" w:rsidP="00B310A6">
      <w:pPr>
        <w:pStyle w:val="NoSpacing"/>
        <w:jc w:val="center"/>
        <w:rPr>
          <w:sz w:val="28"/>
          <w:szCs w:val="28"/>
        </w:rPr>
      </w:pPr>
      <w:r w:rsidRPr="00824F67">
        <w:rPr>
          <w:sz w:val="28"/>
          <w:szCs w:val="28"/>
        </w:rPr>
        <w:t xml:space="preserve">Overview of </w:t>
      </w:r>
      <w:r w:rsidR="00D351D0">
        <w:rPr>
          <w:sz w:val="28"/>
          <w:szCs w:val="28"/>
        </w:rPr>
        <w:t>SBA</w:t>
      </w:r>
      <w:r w:rsidR="0031019A" w:rsidRPr="00824F67">
        <w:rPr>
          <w:sz w:val="28"/>
          <w:szCs w:val="28"/>
        </w:rPr>
        <w:t xml:space="preserve"> Loans Under the </w:t>
      </w:r>
      <w:r w:rsidR="00EE4609" w:rsidRPr="00824F67">
        <w:rPr>
          <w:sz w:val="28"/>
          <w:szCs w:val="28"/>
        </w:rPr>
        <w:t xml:space="preserve">Paycheck Protection Program </w:t>
      </w:r>
      <w:r w:rsidR="00DC0B59">
        <w:rPr>
          <w:sz w:val="28"/>
          <w:szCs w:val="28"/>
        </w:rPr>
        <w:t>Provision of the Coronavirus Aid, Relief, and Economic Security (“CARES”) Act</w:t>
      </w:r>
    </w:p>
    <w:p w14:paraId="0D5AA1A8" w14:textId="77777777" w:rsidR="004352CA" w:rsidRPr="006811AD" w:rsidRDefault="004352CA" w:rsidP="00B310A6">
      <w:pPr>
        <w:pStyle w:val="NoSpacing"/>
        <w:jc w:val="center"/>
      </w:pPr>
    </w:p>
    <w:p w14:paraId="7F458F3B" w14:textId="10E2A68B" w:rsidR="00F55600" w:rsidRDefault="00F55600" w:rsidP="00FA6C22">
      <w:pPr>
        <w:jc w:val="both"/>
      </w:pPr>
      <w:r>
        <w:t xml:space="preserve">On Friday, March 27, 2020, the Federal government enacted the </w:t>
      </w:r>
      <w:r w:rsidR="00D76E31" w:rsidRPr="00D76E31">
        <w:t xml:space="preserve">Coronavirus Aid, Relief, and Economic Security </w:t>
      </w:r>
      <w:r w:rsidR="00D76E31">
        <w:t>(</w:t>
      </w:r>
      <w:r>
        <w:t>“CARES”</w:t>
      </w:r>
      <w:r w:rsidR="00D76E31">
        <w:t>)</w:t>
      </w:r>
      <w:r>
        <w:t xml:space="preserve"> Act to provide economic relief for the devastation resulting from the current COVID-19 pandemic. The largest spending law in US history, the CARES Act includes provisions that directly impact individuals and businesses on numerous levels.  </w:t>
      </w:r>
      <w:bookmarkStart w:id="0" w:name="_GoBack"/>
      <w:bookmarkEnd w:id="0"/>
    </w:p>
    <w:p w14:paraId="2A94C2D8" w14:textId="7C403E52" w:rsidR="00793D46" w:rsidRDefault="00F55600" w:rsidP="00FA6C22">
      <w:pPr>
        <w:jc w:val="both"/>
      </w:pPr>
      <w:r>
        <w:t xml:space="preserve">One provision of the CARES Act </w:t>
      </w:r>
      <w:r w:rsidR="003D4B66">
        <w:t xml:space="preserve">provides </w:t>
      </w:r>
      <w:r>
        <w:t xml:space="preserve">Paycheck Protection </w:t>
      </w:r>
      <w:r w:rsidR="003D4B66">
        <w:t xml:space="preserve">Loans </w:t>
      </w:r>
      <w:r>
        <w:t>(“PP</w:t>
      </w:r>
      <w:r w:rsidR="003D4B66">
        <w:t>L</w:t>
      </w:r>
      <w:r w:rsidR="004F643B">
        <w:t>s</w:t>
      </w:r>
      <w:r>
        <w:t>”) intended to assist small businesses</w:t>
      </w:r>
      <w:r w:rsidR="00D76E31">
        <w:t>,</w:t>
      </w:r>
      <w:r w:rsidR="00FE581D">
        <w:t xml:space="preserve"> including not</w:t>
      </w:r>
      <w:r w:rsidR="00D76E31">
        <w:t>-</w:t>
      </w:r>
      <w:r w:rsidR="00FE581D">
        <w:t>for</w:t>
      </w:r>
      <w:r w:rsidR="00D76E31">
        <w:t>-</w:t>
      </w:r>
      <w:r w:rsidR="00FE581D">
        <w:t>profit organization</w:t>
      </w:r>
      <w:r w:rsidR="00D76E31">
        <w:t>s,</w:t>
      </w:r>
      <w:r>
        <w:t xml:space="preserve"> in maintaining their payroll and operating costs during this time of uncertain and diminished revenue</w:t>
      </w:r>
      <w:r w:rsidR="001A4B0B">
        <w:t xml:space="preserve">. This will be done </w:t>
      </w:r>
      <w:r w:rsidR="00A46A37">
        <w:t xml:space="preserve">through </w:t>
      </w:r>
      <w:r w:rsidR="001A4B0B">
        <w:t xml:space="preserve">federally guaranteed </w:t>
      </w:r>
      <w:r w:rsidR="00A46A37">
        <w:t>loans administered by the Small Business Administration</w:t>
      </w:r>
      <w:r w:rsidR="003D4B66">
        <w:t xml:space="preserve"> (“SBA”)</w:t>
      </w:r>
      <w:r w:rsidR="00A46A37">
        <w:t xml:space="preserve"> </w:t>
      </w:r>
      <w:r w:rsidR="001A4B0B">
        <w:t xml:space="preserve">and </w:t>
      </w:r>
      <w:r w:rsidR="00A46A37">
        <w:t xml:space="preserve">made by </w:t>
      </w:r>
      <w:r w:rsidR="00976FAB">
        <w:t>SBA-</w:t>
      </w:r>
      <w:r w:rsidR="003D4B66">
        <w:t xml:space="preserve">approved </w:t>
      </w:r>
      <w:r w:rsidR="00A46A37">
        <w:t>lenders.</w:t>
      </w:r>
      <w:r w:rsidR="003D4B66">
        <w:t xml:space="preserve">    </w:t>
      </w:r>
      <w:r w:rsidR="00A46A37">
        <w:t xml:space="preserve">  </w:t>
      </w:r>
    </w:p>
    <w:p w14:paraId="1C83AD46" w14:textId="190EB460" w:rsidR="00D76E31" w:rsidRDefault="00793D46" w:rsidP="00191BE4">
      <w:pPr>
        <w:pStyle w:val="NoSpacing"/>
        <w:spacing w:before="240" w:after="240"/>
        <w:jc w:val="center"/>
        <w:rPr>
          <w:b/>
          <w:bCs/>
          <w:sz w:val="28"/>
          <w:szCs w:val="28"/>
        </w:rPr>
      </w:pPr>
      <w:r w:rsidRPr="00D545AC">
        <w:rPr>
          <w:b/>
          <w:bCs/>
          <w:sz w:val="28"/>
          <w:szCs w:val="28"/>
        </w:rPr>
        <w:t>ELIGIBILITY</w:t>
      </w:r>
    </w:p>
    <w:tbl>
      <w:tblPr>
        <w:tblW w:w="10170" w:type="dxa"/>
        <w:tblInd w:w="-10" w:type="dxa"/>
        <w:tblLook w:val="04A0" w:firstRow="1" w:lastRow="0" w:firstColumn="1" w:lastColumn="0" w:noHBand="0" w:noVBand="1"/>
      </w:tblPr>
      <w:tblGrid>
        <w:gridCol w:w="2160"/>
        <w:gridCol w:w="8010"/>
      </w:tblGrid>
      <w:tr w:rsidR="00C20C1A" w:rsidRPr="00C20C1A" w14:paraId="2DFC69AA" w14:textId="77777777" w:rsidTr="00FA6C22">
        <w:trPr>
          <w:trHeight w:val="322"/>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D7930E" w14:textId="050B43BA" w:rsidR="00C20C1A" w:rsidRPr="00C20C1A" w:rsidRDefault="00C20C1A" w:rsidP="00C20C1A">
            <w:pPr>
              <w:spacing w:after="0" w:line="240" w:lineRule="auto"/>
              <w:rPr>
                <w:rFonts w:ascii="Calibri" w:eastAsia="Times New Roman" w:hAnsi="Calibri" w:cs="Calibri"/>
                <w:b/>
                <w:bCs/>
                <w:color w:val="000000"/>
              </w:rPr>
            </w:pPr>
            <w:r w:rsidRPr="00C20C1A">
              <w:rPr>
                <w:rFonts w:ascii="Calibri" w:eastAsia="Times New Roman" w:hAnsi="Calibri" w:cs="Calibri"/>
                <w:b/>
                <w:bCs/>
                <w:color w:val="000000"/>
              </w:rPr>
              <w:t xml:space="preserve">Who is </w:t>
            </w:r>
            <w:r w:rsidR="00FA6C22">
              <w:rPr>
                <w:rFonts w:ascii="Calibri" w:eastAsia="Times New Roman" w:hAnsi="Calibri" w:cs="Calibri"/>
                <w:b/>
                <w:bCs/>
                <w:color w:val="000000"/>
              </w:rPr>
              <w:t>E</w:t>
            </w:r>
            <w:r w:rsidRPr="00C20C1A">
              <w:rPr>
                <w:rFonts w:ascii="Calibri" w:eastAsia="Times New Roman" w:hAnsi="Calibri" w:cs="Calibri"/>
                <w:b/>
                <w:bCs/>
                <w:color w:val="000000"/>
              </w:rPr>
              <w:t>ligible for Paycheck Protection Loans (PPLs)?</w:t>
            </w:r>
          </w:p>
        </w:tc>
        <w:tc>
          <w:tcPr>
            <w:tcW w:w="8010" w:type="dxa"/>
            <w:tcBorders>
              <w:top w:val="single" w:sz="8" w:space="0" w:color="auto"/>
              <w:left w:val="nil"/>
              <w:bottom w:val="dotted" w:sz="4" w:space="0" w:color="auto"/>
              <w:right w:val="single" w:sz="8" w:space="0" w:color="auto"/>
            </w:tcBorders>
            <w:shd w:val="clear" w:color="auto" w:fill="auto"/>
            <w:hideMark/>
          </w:tcPr>
          <w:p w14:paraId="48317FB0" w14:textId="77777777" w:rsidR="00C20C1A" w:rsidRPr="00C20C1A" w:rsidRDefault="00C20C1A" w:rsidP="00C20C1A">
            <w:pPr>
              <w:spacing w:after="0" w:line="240" w:lineRule="auto"/>
              <w:rPr>
                <w:rFonts w:ascii="Calibri" w:eastAsia="Times New Roman" w:hAnsi="Calibri" w:cs="Calibri"/>
                <w:color w:val="000000"/>
              </w:rPr>
            </w:pPr>
            <w:r w:rsidRPr="00C20C1A">
              <w:rPr>
                <w:rFonts w:ascii="Calibri" w:eastAsia="Times New Roman" w:hAnsi="Calibri" w:cs="Calibri"/>
                <w:color w:val="000000"/>
              </w:rPr>
              <w:t>Businesses with not more than 500 employees, including not-for-profit organizations</w:t>
            </w:r>
          </w:p>
        </w:tc>
      </w:tr>
      <w:tr w:rsidR="00FA6C22" w:rsidRPr="00C20C1A" w14:paraId="67E1665C" w14:textId="77777777" w:rsidTr="00E439F7">
        <w:trPr>
          <w:trHeight w:val="367"/>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476E79B8" w14:textId="77777777" w:rsidR="00C20C1A" w:rsidRPr="00C20C1A" w:rsidRDefault="00C20C1A" w:rsidP="00C20C1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74407550" w14:textId="3FA3FAEE" w:rsidR="00C20C1A" w:rsidRPr="00C20C1A" w:rsidRDefault="00C20C1A" w:rsidP="00C20C1A">
            <w:pPr>
              <w:spacing w:after="0" w:line="240" w:lineRule="auto"/>
              <w:rPr>
                <w:rFonts w:ascii="Calibri" w:eastAsia="Times New Roman" w:hAnsi="Calibri" w:cs="Calibri"/>
                <w:color w:val="000000"/>
              </w:rPr>
            </w:pPr>
            <w:r w:rsidRPr="00C20C1A">
              <w:rPr>
                <w:rFonts w:ascii="Calibri" w:eastAsia="Times New Roman" w:hAnsi="Calibri" w:cs="Calibri"/>
                <w:color w:val="000000"/>
              </w:rPr>
              <w:t xml:space="preserve">Sole proprietorships, independent contractors and </w:t>
            </w:r>
            <w:r w:rsidR="009F1E02">
              <w:rPr>
                <w:rFonts w:ascii="Calibri" w:eastAsia="Times New Roman" w:hAnsi="Calibri" w:cs="Calibri"/>
                <w:color w:val="000000"/>
              </w:rPr>
              <w:t>eligible</w:t>
            </w:r>
            <w:r w:rsidR="007C7B1A">
              <w:rPr>
                <w:rFonts w:ascii="Calibri" w:eastAsia="Times New Roman" w:hAnsi="Calibri" w:cs="Calibri"/>
                <w:color w:val="000000"/>
              </w:rPr>
              <w:t xml:space="preserve"> </w:t>
            </w:r>
            <w:r w:rsidRPr="00C20C1A">
              <w:rPr>
                <w:rFonts w:ascii="Calibri" w:eastAsia="Times New Roman" w:hAnsi="Calibri" w:cs="Calibri"/>
                <w:color w:val="000000"/>
              </w:rPr>
              <w:t xml:space="preserve">self-employed individuals </w:t>
            </w:r>
          </w:p>
        </w:tc>
      </w:tr>
      <w:tr w:rsidR="00FA6C22" w:rsidRPr="00C20C1A" w14:paraId="2E2DE23F" w14:textId="77777777" w:rsidTr="00E439F7">
        <w:trPr>
          <w:trHeight w:val="34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4D20D1A1" w14:textId="77777777" w:rsidR="00C20C1A" w:rsidRPr="00C20C1A" w:rsidRDefault="00C20C1A" w:rsidP="00C20C1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7F16F124" w14:textId="77777777" w:rsidR="00C20C1A" w:rsidRPr="00C20C1A" w:rsidRDefault="00C20C1A" w:rsidP="00C20C1A">
            <w:pPr>
              <w:spacing w:after="0" w:line="240" w:lineRule="auto"/>
              <w:rPr>
                <w:rFonts w:ascii="Calibri" w:eastAsia="Times New Roman" w:hAnsi="Calibri" w:cs="Calibri"/>
                <w:color w:val="000000"/>
              </w:rPr>
            </w:pPr>
            <w:r w:rsidRPr="00C20C1A">
              <w:rPr>
                <w:rFonts w:ascii="Calibri" w:eastAsia="Times New Roman" w:hAnsi="Calibri" w:cs="Calibri"/>
                <w:color w:val="000000"/>
              </w:rPr>
              <w:t>Restaurants/hospitality businesses (though special rules apply)</w:t>
            </w:r>
          </w:p>
        </w:tc>
      </w:tr>
      <w:tr w:rsidR="00C20C1A" w:rsidRPr="00C20C1A" w14:paraId="602E9581" w14:textId="77777777" w:rsidTr="00FA6C22">
        <w:trPr>
          <w:trHeight w:val="61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314D6194" w14:textId="77777777" w:rsidR="00C20C1A" w:rsidRPr="00C20C1A" w:rsidRDefault="00C20C1A" w:rsidP="00C20C1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hideMark/>
          </w:tcPr>
          <w:p w14:paraId="00A54AAE" w14:textId="77777777" w:rsidR="00C20C1A" w:rsidRPr="00C20C1A" w:rsidRDefault="00C20C1A" w:rsidP="00C20C1A">
            <w:pPr>
              <w:spacing w:after="0" w:line="240" w:lineRule="auto"/>
              <w:rPr>
                <w:rFonts w:ascii="Calibri" w:eastAsia="Times New Roman" w:hAnsi="Calibri" w:cs="Calibri"/>
                <w:color w:val="000000"/>
              </w:rPr>
            </w:pPr>
            <w:r w:rsidRPr="00C20C1A">
              <w:rPr>
                <w:rFonts w:ascii="Calibri" w:eastAsia="Times New Roman" w:hAnsi="Calibri" w:cs="Calibri"/>
                <w:color w:val="000000"/>
              </w:rPr>
              <w:t>Businesses that were in operation on February 15, 2020 with employees and/or paid independent contractors</w:t>
            </w:r>
          </w:p>
        </w:tc>
      </w:tr>
    </w:tbl>
    <w:p w14:paraId="23B928A7" w14:textId="055D313A" w:rsidR="00FA6C22" w:rsidRDefault="00FA6C22" w:rsidP="00D76E31">
      <w:pPr>
        <w:pStyle w:val="NoSpacing"/>
        <w:rPr>
          <w:i/>
          <w:iCs/>
          <w:sz w:val="16"/>
          <w:szCs w:val="16"/>
        </w:rPr>
      </w:pPr>
    </w:p>
    <w:p w14:paraId="633625C8" w14:textId="77777777" w:rsidR="00010FE6" w:rsidRPr="00010FE6" w:rsidRDefault="00010FE6" w:rsidP="00D76E31">
      <w:pPr>
        <w:pStyle w:val="NoSpacing"/>
        <w:rPr>
          <w:i/>
          <w:iCs/>
          <w:sz w:val="16"/>
          <w:szCs w:val="16"/>
        </w:rPr>
      </w:pPr>
    </w:p>
    <w:tbl>
      <w:tblPr>
        <w:tblW w:w="10154" w:type="dxa"/>
        <w:tblInd w:w="-10" w:type="dxa"/>
        <w:tblLook w:val="04A0" w:firstRow="1" w:lastRow="0" w:firstColumn="1" w:lastColumn="0" w:noHBand="0" w:noVBand="1"/>
      </w:tblPr>
      <w:tblGrid>
        <w:gridCol w:w="2156"/>
        <w:gridCol w:w="7998"/>
      </w:tblGrid>
      <w:tr w:rsidR="00FA6C22" w:rsidRPr="00C20C1A" w14:paraId="551F0EBE" w14:textId="77777777" w:rsidTr="00010FE6">
        <w:trPr>
          <w:trHeight w:val="394"/>
        </w:trPr>
        <w:tc>
          <w:tcPr>
            <w:tcW w:w="2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5EB591" w14:textId="77777777" w:rsidR="00FA6C22" w:rsidRPr="00C20C1A" w:rsidRDefault="00FA6C22" w:rsidP="00DB3F6A">
            <w:pPr>
              <w:spacing w:after="0" w:line="240" w:lineRule="auto"/>
              <w:rPr>
                <w:rFonts w:ascii="Calibri" w:eastAsia="Times New Roman" w:hAnsi="Calibri" w:cs="Calibri"/>
                <w:b/>
                <w:bCs/>
                <w:color w:val="000000"/>
              </w:rPr>
            </w:pPr>
            <w:r>
              <w:rPr>
                <w:rFonts w:ascii="Calibri" w:eastAsia="Times New Roman" w:hAnsi="Calibri" w:cs="Calibri"/>
                <w:b/>
                <w:bCs/>
                <w:color w:val="000000"/>
              </w:rPr>
              <w:t>Other Eligibility Details</w:t>
            </w:r>
          </w:p>
        </w:tc>
        <w:tc>
          <w:tcPr>
            <w:tcW w:w="7998" w:type="dxa"/>
            <w:tcBorders>
              <w:top w:val="single" w:sz="8" w:space="0" w:color="auto"/>
              <w:left w:val="nil"/>
              <w:bottom w:val="dotted" w:sz="4" w:space="0" w:color="auto"/>
              <w:right w:val="single" w:sz="8" w:space="0" w:color="auto"/>
            </w:tcBorders>
            <w:shd w:val="clear" w:color="auto" w:fill="auto"/>
            <w:vAlign w:val="center"/>
            <w:hideMark/>
          </w:tcPr>
          <w:p w14:paraId="4C683751" w14:textId="68C3FD31" w:rsidR="00FA6C22" w:rsidRPr="00C20C1A" w:rsidRDefault="00FA6C22" w:rsidP="00DB3F6A">
            <w:pPr>
              <w:spacing w:after="0" w:line="240" w:lineRule="auto"/>
              <w:rPr>
                <w:rFonts w:ascii="Calibri" w:eastAsia="Times New Roman" w:hAnsi="Calibri" w:cs="Calibri"/>
                <w:color w:val="000000"/>
              </w:rPr>
            </w:pPr>
            <w:r>
              <w:t>Lenders shall not consider if an applicant is able to obtain credit elsewhere</w:t>
            </w:r>
          </w:p>
        </w:tc>
      </w:tr>
      <w:tr w:rsidR="00010FE6" w:rsidRPr="00C20C1A" w14:paraId="14069CC5" w14:textId="77777777" w:rsidTr="00010FE6">
        <w:trPr>
          <w:trHeight w:val="625"/>
        </w:trPr>
        <w:tc>
          <w:tcPr>
            <w:tcW w:w="2156" w:type="dxa"/>
            <w:vMerge/>
            <w:tcBorders>
              <w:top w:val="single" w:sz="8" w:space="0" w:color="auto"/>
              <w:left w:val="single" w:sz="8" w:space="0" w:color="auto"/>
              <w:bottom w:val="single" w:sz="8" w:space="0" w:color="000000"/>
              <w:right w:val="single" w:sz="8" w:space="0" w:color="auto"/>
            </w:tcBorders>
            <w:vAlign w:val="center"/>
            <w:hideMark/>
          </w:tcPr>
          <w:p w14:paraId="238581F7" w14:textId="77777777" w:rsidR="00FA6C22" w:rsidRPr="00C20C1A" w:rsidRDefault="00FA6C22" w:rsidP="00DB3F6A">
            <w:pPr>
              <w:spacing w:after="0" w:line="240" w:lineRule="auto"/>
              <w:rPr>
                <w:rFonts w:ascii="Calibri" w:eastAsia="Times New Roman" w:hAnsi="Calibri" w:cs="Calibri"/>
                <w:b/>
                <w:bCs/>
                <w:color w:val="000000"/>
              </w:rPr>
            </w:pPr>
          </w:p>
        </w:tc>
        <w:tc>
          <w:tcPr>
            <w:tcW w:w="7998" w:type="dxa"/>
            <w:tcBorders>
              <w:top w:val="dotted" w:sz="4" w:space="0" w:color="auto"/>
              <w:left w:val="nil"/>
              <w:bottom w:val="dotted" w:sz="4" w:space="0" w:color="auto"/>
              <w:right w:val="single" w:sz="8" w:space="0" w:color="auto"/>
            </w:tcBorders>
            <w:shd w:val="clear" w:color="auto" w:fill="auto"/>
            <w:vAlign w:val="center"/>
            <w:hideMark/>
          </w:tcPr>
          <w:p w14:paraId="53D7ACA2" w14:textId="600BC5A1" w:rsidR="00FA6C22" w:rsidRPr="00C20C1A" w:rsidRDefault="00FA6C22" w:rsidP="00FA6C22">
            <w:r>
              <w:t>PPLs are nonrecourse, with no personal guarantee or collateral required, and no recourse against any individual shareholder, member or partner for nonpayment except if proceeds are used for other than allowable uses, discussed below</w:t>
            </w:r>
          </w:p>
        </w:tc>
      </w:tr>
      <w:tr w:rsidR="00FA6C22" w:rsidRPr="00C20C1A" w14:paraId="6ED1E5AF" w14:textId="77777777" w:rsidTr="00010FE6">
        <w:trPr>
          <w:trHeight w:val="479"/>
        </w:trPr>
        <w:tc>
          <w:tcPr>
            <w:tcW w:w="2156" w:type="dxa"/>
            <w:vMerge/>
            <w:tcBorders>
              <w:top w:val="single" w:sz="8" w:space="0" w:color="auto"/>
              <w:left w:val="single" w:sz="8" w:space="0" w:color="auto"/>
              <w:bottom w:val="single" w:sz="8" w:space="0" w:color="000000"/>
              <w:right w:val="single" w:sz="8" w:space="0" w:color="auto"/>
            </w:tcBorders>
            <w:vAlign w:val="center"/>
            <w:hideMark/>
          </w:tcPr>
          <w:p w14:paraId="30064992" w14:textId="77777777" w:rsidR="00FA6C22" w:rsidRPr="00C20C1A" w:rsidRDefault="00FA6C22" w:rsidP="00DB3F6A">
            <w:pPr>
              <w:spacing w:after="0" w:line="240" w:lineRule="auto"/>
              <w:rPr>
                <w:rFonts w:ascii="Calibri" w:eastAsia="Times New Roman" w:hAnsi="Calibri" w:cs="Calibri"/>
                <w:b/>
                <w:bCs/>
                <w:color w:val="000000"/>
              </w:rPr>
            </w:pPr>
          </w:p>
        </w:tc>
        <w:tc>
          <w:tcPr>
            <w:tcW w:w="7998" w:type="dxa"/>
            <w:tcBorders>
              <w:top w:val="dotted" w:sz="4" w:space="0" w:color="auto"/>
              <w:left w:val="nil"/>
              <w:bottom w:val="single" w:sz="8" w:space="0" w:color="auto"/>
              <w:right w:val="single" w:sz="8" w:space="0" w:color="auto"/>
            </w:tcBorders>
            <w:shd w:val="clear" w:color="auto" w:fill="auto"/>
            <w:vAlign w:val="center"/>
            <w:hideMark/>
          </w:tcPr>
          <w:p w14:paraId="6FB3AF5C" w14:textId="775E24ED" w:rsidR="00FA6C22" w:rsidRDefault="00FA6C22" w:rsidP="00FA6C22">
            <w:r>
              <w:t>Applicants shall make a good faith certification</w:t>
            </w:r>
            <w:r w:rsidR="00A316CF">
              <w:t xml:space="preserve"> to </w:t>
            </w:r>
            <w:r>
              <w:t>acknowledge:</w:t>
            </w:r>
          </w:p>
          <w:p w14:paraId="5B5B543B" w14:textId="77777777" w:rsidR="00FA6C22" w:rsidRDefault="00FA6C22" w:rsidP="00FA6C22">
            <w:pPr>
              <w:pStyle w:val="ListParagraph"/>
              <w:numPr>
                <w:ilvl w:val="1"/>
                <w:numId w:val="1"/>
              </w:numPr>
              <w:ind w:left="706"/>
            </w:pPr>
            <w:r>
              <w:t>That the uncertainty of current economic conditions makes necessary the loan request to support ongoing operations</w:t>
            </w:r>
          </w:p>
          <w:p w14:paraId="59BB465B" w14:textId="77777777" w:rsidR="00FA6C22" w:rsidRDefault="00FA6C22" w:rsidP="00FA6C22">
            <w:pPr>
              <w:pStyle w:val="ListParagraph"/>
              <w:numPr>
                <w:ilvl w:val="1"/>
                <w:numId w:val="1"/>
              </w:numPr>
              <w:ind w:left="706"/>
            </w:pPr>
            <w:r>
              <w:t>That funds will be used to retain workers and maintain payroll or make mortgage payments, lease payments, and utility payments</w:t>
            </w:r>
          </w:p>
          <w:p w14:paraId="7C4143C5" w14:textId="006B2E62" w:rsidR="00FA6C22" w:rsidRPr="00C20C1A" w:rsidRDefault="00FA6C22" w:rsidP="00FA6C22">
            <w:pPr>
              <w:pStyle w:val="ListParagraph"/>
              <w:numPr>
                <w:ilvl w:val="1"/>
                <w:numId w:val="1"/>
              </w:numPr>
              <w:ind w:left="706"/>
              <w:rPr>
                <w:rFonts w:ascii="Calibri" w:eastAsia="Times New Roman" w:hAnsi="Calibri" w:cs="Calibri"/>
                <w:color w:val="000000"/>
              </w:rPr>
            </w:pPr>
            <w:r>
              <w:t>That the applicant does not have an application pending, nor has received during the period beginning on February 15, 2020 and ending on December 31, 2020, a loan under Section 7(a) of the Small Business Act for the same purpose and amount as the PPL</w:t>
            </w:r>
          </w:p>
        </w:tc>
      </w:tr>
    </w:tbl>
    <w:p w14:paraId="7E4AED39" w14:textId="45A79900" w:rsidR="00461F8B" w:rsidRDefault="00461F8B" w:rsidP="00461F8B">
      <w:pPr>
        <w:pStyle w:val="NoSpacing"/>
        <w:spacing w:after="240"/>
        <w:jc w:val="center"/>
        <w:rPr>
          <w:b/>
          <w:bCs/>
          <w:sz w:val="28"/>
          <w:szCs w:val="28"/>
        </w:rPr>
      </w:pPr>
      <w:r>
        <w:rPr>
          <w:b/>
          <w:bCs/>
          <w:sz w:val="28"/>
          <w:szCs w:val="28"/>
        </w:rPr>
        <w:lastRenderedPageBreak/>
        <w:t>MAXIMUM LOAN AMOUNT</w:t>
      </w:r>
    </w:p>
    <w:tbl>
      <w:tblPr>
        <w:tblW w:w="10170" w:type="dxa"/>
        <w:tblInd w:w="-10" w:type="dxa"/>
        <w:tblLook w:val="04A0" w:firstRow="1" w:lastRow="0" w:firstColumn="1" w:lastColumn="0" w:noHBand="0" w:noVBand="1"/>
      </w:tblPr>
      <w:tblGrid>
        <w:gridCol w:w="2160"/>
        <w:gridCol w:w="8010"/>
      </w:tblGrid>
      <w:tr w:rsidR="00010FE6" w:rsidRPr="00C20C1A" w14:paraId="2F67C8DD" w14:textId="77777777" w:rsidTr="00010FE6">
        <w:trPr>
          <w:trHeight w:val="92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FB645C" w14:textId="36356574" w:rsidR="00010FE6" w:rsidRPr="00C20C1A" w:rsidRDefault="00010FE6" w:rsidP="00DB3F6A">
            <w:pPr>
              <w:spacing w:after="0" w:line="240" w:lineRule="auto"/>
              <w:rPr>
                <w:rFonts w:ascii="Calibri" w:eastAsia="Times New Roman" w:hAnsi="Calibri" w:cs="Calibri"/>
                <w:b/>
                <w:bCs/>
                <w:color w:val="000000"/>
              </w:rPr>
            </w:pPr>
            <w:r>
              <w:rPr>
                <w:rFonts w:ascii="Calibri" w:eastAsia="Times New Roman" w:hAnsi="Calibri" w:cs="Calibri"/>
                <w:b/>
                <w:bCs/>
                <w:color w:val="000000"/>
              </w:rPr>
              <w:t>Maximum Loan Amount</w:t>
            </w:r>
          </w:p>
        </w:tc>
        <w:tc>
          <w:tcPr>
            <w:tcW w:w="8010" w:type="dxa"/>
            <w:tcBorders>
              <w:top w:val="single" w:sz="8" w:space="0" w:color="auto"/>
              <w:left w:val="nil"/>
              <w:bottom w:val="dotted" w:sz="4" w:space="0" w:color="auto"/>
              <w:right w:val="single" w:sz="8" w:space="0" w:color="auto"/>
            </w:tcBorders>
            <w:shd w:val="clear" w:color="auto" w:fill="auto"/>
            <w:hideMark/>
          </w:tcPr>
          <w:p w14:paraId="0345FF82" w14:textId="7C855087" w:rsidR="00010FE6" w:rsidRPr="00C20C1A" w:rsidRDefault="00010FE6" w:rsidP="00010FE6">
            <w:pPr>
              <w:pStyle w:val="NoSpacing"/>
            </w:pPr>
            <w:r>
              <w:t>The loan amount is determined by the product obtained by multiplying 2.5 by the average total monthly payments for payroll costs incurred during the 1-year period before the date on which the loan is made</w:t>
            </w:r>
          </w:p>
        </w:tc>
      </w:tr>
      <w:tr w:rsidR="00010FE6" w:rsidRPr="00C20C1A" w14:paraId="24AA747D" w14:textId="77777777" w:rsidTr="00827BC9">
        <w:trPr>
          <w:trHeight w:val="70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3B918753" w14:textId="77777777" w:rsidR="00010FE6" w:rsidRPr="00C20C1A" w:rsidRDefault="00010FE6"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59015F1B" w14:textId="5C644D8A" w:rsidR="00010FE6" w:rsidRPr="00C20C1A" w:rsidRDefault="00010FE6" w:rsidP="00010FE6">
            <w:pPr>
              <w:pStyle w:val="NoSpacing"/>
            </w:pPr>
            <w:r>
              <w:t>Special calculations for payroll costs for seasonal employers, as determined by the SBA, apply</w:t>
            </w:r>
          </w:p>
        </w:tc>
      </w:tr>
      <w:tr w:rsidR="00010FE6" w:rsidRPr="00C20C1A" w14:paraId="412E76E1" w14:textId="77777777" w:rsidTr="00827BC9">
        <w:trPr>
          <w:trHeight w:val="97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3A43A58B" w14:textId="77777777" w:rsidR="00010FE6" w:rsidRPr="00C20C1A" w:rsidRDefault="00010FE6"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50329FEF" w14:textId="79F41588" w:rsidR="00010FE6" w:rsidRPr="00C20C1A" w:rsidRDefault="00010FE6" w:rsidP="00010FE6">
            <w:pPr>
              <w:pStyle w:val="NoSpacing"/>
            </w:pPr>
            <w:r>
              <w:t>Special calculations apply for businesses not in business during the period beginning on February 15, 2019 and ending on June 30, 2019, and for businesses with existing SBA loans</w:t>
            </w:r>
          </w:p>
        </w:tc>
      </w:tr>
      <w:tr w:rsidR="00010FE6" w:rsidRPr="00C20C1A" w14:paraId="528AB8DC" w14:textId="77777777" w:rsidTr="00C47FD3">
        <w:trPr>
          <w:trHeight w:val="34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2E937486" w14:textId="77777777" w:rsidR="00010FE6" w:rsidRPr="00C20C1A" w:rsidRDefault="00010FE6"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hideMark/>
          </w:tcPr>
          <w:p w14:paraId="69EA09E6" w14:textId="04D5E083" w:rsidR="00010FE6" w:rsidRPr="00C20C1A" w:rsidRDefault="00010FE6" w:rsidP="00010FE6">
            <w:pPr>
              <w:pStyle w:val="NoSpacing"/>
            </w:pPr>
            <w:r>
              <w:t>Loans shall not exceed $10million</w:t>
            </w:r>
          </w:p>
        </w:tc>
      </w:tr>
    </w:tbl>
    <w:p w14:paraId="49A57EB9" w14:textId="1C4BA7D8" w:rsidR="00010FE6" w:rsidRDefault="00010FE6" w:rsidP="00461F8B">
      <w:pPr>
        <w:pStyle w:val="NoSpacing"/>
        <w:spacing w:after="240"/>
        <w:jc w:val="center"/>
        <w:rPr>
          <w:b/>
          <w:bCs/>
          <w:sz w:val="28"/>
          <w:szCs w:val="28"/>
        </w:rPr>
      </w:pPr>
    </w:p>
    <w:p w14:paraId="1D72CF14" w14:textId="47F0F749" w:rsidR="00B22B9F" w:rsidRPr="003E2580" w:rsidRDefault="00B22B9F" w:rsidP="003E2580">
      <w:pPr>
        <w:pStyle w:val="NoSpacing"/>
        <w:jc w:val="center"/>
        <w:rPr>
          <w:b/>
          <w:bCs/>
          <w:sz w:val="28"/>
          <w:szCs w:val="28"/>
        </w:rPr>
      </w:pPr>
      <w:r w:rsidRPr="003E2580">
        <w:rPr>
          <w:b/>
          <w:bCs/>
          <w:sz w:val="28"/>
          <w:szCs w:val="28"/>
        </w:rPr>
        <w:t>PAYROLL COSTS</w:t>
      </w:r>
    </w:p>
    <w:p w14:paraId="182F5A47" w14:textId="1809D3F1" w:rsidR="003E2580" w:rsidRDefault="003E2580" w:rsidP="003E2580">
      <w:pPr>
        <w:pStyle w:val="NoSpacing"/>
      </w:pPr>
    </w:p>
    <w:tbl>
      <w:tblPr>
        <w:tblW w:w="10170" w:type="dxa"/>
        <w:tblInd w:w="-10" w:type="dxa"/>
        <w:tblLook w:val="04A0" w:firstRow="1" w:lastRow="0" w:firstColumn="1" w:lastColumn="0" w:noHBand="0" w:noVBand="1"/>
      </w:tblPr>
      <w:tblGrid>
        <w:gridCol w:w="2160"/>
        <w:gridCol w:w="8010"/>
      </w:tblGrid>
      <w:tr w:rsidR="003E2580" w:rsidRPr="00C20C1A" w14:paraId="06E1515B" w14:textId="77777777" w:rsidTr="0044175C">
        <w:trPr>
          <w:trHeight w:val="385"/>
        </w:trPr>
        <w:tc>
          <w:tcPr>
            <w:tcW w:w="2160" w:type="dxa"/>
            <w:vMerge w:val="restart"/>
            <w:tcBorders>
              <w:top w:val="single" w:sz="8" w:space="0" w:color="auto"/>
              <w:left w:val="single" w:sz="8" w:space="0" w:color="auto"/>
              <w:right w:val="single" w:sz="8" w:space="0" w:color="auto"/>
            </w:tcBorders>
            <w:shd w:val="clear" w:color="auto" w:fill="auto"/>
            <w:vAlign w:val="center"/>
            <w:hideMark/>
          </w:tcPr>
          <w:p w14:paraId="400CC5F5" w14:textId="4F577EC2" w:rsidR="003E2580" w:rsidRPr="00C20C1A" w:rsidRDefault="003E2580" w:rsidP="00DB3F6A">
            <w:pPr>
              <w:spacing w:after="0" w:line="240" w:lineRule="auto"/>
              <w:rPr>
                <w:rFonts w:ascii="Calibri" w:eastAsia="Times New Roman" w:hAnsi="Calibri" w:cs="Calibri"/>
                <w:b/>
                <w:bCs/>
                <w:color w:val="000000"/>
              </w:rPr>
            </w:pPr>
            <w:r w:rsidRPr="003E2580">
              <w:rPr>
                <w:b/>
                <w:bCs/>
              </w:rPr>
              <w:t>Payroll costs</w:t>
            </w:r>
            <w:r>
              <w:t xml:space="preserve"> are the sum of payments of any compensation with respect to employees and are intended to include:</w:t>
            </w:r>
          </w:p>
        </w:tc>
        <w:tc>
          <w:tcPr>
            <w:tcW w:w="8010" w:type="dxa"/>
            <w:tcBorders>
              <w:top w:val="single" w:sz="8" w:space="0" w:color="auto"/>
              <w:left w:val="nil"/>
              <w:bottom w:val="dotted" w:sz="4" w:space="0" w:color="auto"/>
              <w:right w:val="single" w:sz="8" w:space="0" w:color="auto"/>
            </w:tcBorders>
            <w:shd w:val="clear" w:color="auto" w:fill="auto"/>
            <w:hideMark/>
          </w:tcPr>
          <w:p w14:paraId="45130CDD" w14:textId="069A98A3" w:rsidR="003E2580" w:rsidRPr="00C20C1A" w:rsidRDefault="003E2580" w:rsidP="00DB3F6A">
            <w:pPr>
              <w:pStyle w:val="NoSpacing"/>
            </w:pPr>
            <w:r>
              <w:t>Salary, wage, commission or similar compensation</w:t>
            </w:r>
          </w:p>
        </w:tc>
      </w:tr>
      <w:tr w:rsidR="003E2580" w:rsidRPr="00C20C1A" w14:paraId="5EA548B9" w14:textId="77777777" w:rsidTr="00D00C9B">
        <w:trPr>
          <w:trHeight w:val="350"/>
        </w:trPr>
        <w:tc>
          <w:tcPr>
            <w:tcW w:w="2160" w:type="dxa"/>
            <w:vMerge/>
            <w:tcBorders>
              <w:left w:val="single" w:sz="8" w:space="0" w:color="auto"/>
              <w:right w:val="single" w:sz="8" w:space="0" w:color="auto"/>
            </w:tcBorders>
            <w:vAlign w:val="center"/>
            <w:hideMark/>
          </w:tcPr>
          <w:p w14:paraId="0CFAC616" w14:textId="77777777" w:rsidR="003E2580" w:rsidRPr="00C20C1A" w:rsidRDefault="003E2580"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394215D7" w14:textId="77777777" w:rsidR="00D00C9B" w:rsidRDefault="00D00C9B" w:rsidP="00D00C9B">
            <w:pPr>
              <w:pStyle w:val="NoSpacing"/>
            </w:pPr>
            <w:r>
              <w:t>Payment of cash tip or equivalent</w:t>
            </w:r>
          </w:p>
          <w:p w14:paraId="0B8DEC0C" w14:textId="4B570AD9" w:rsidR="003E2580" w:rsidRPr="00C20C1A" w:rsidRDefault="003E2580" w:rsidP="00DB3F6A">
            <w:pPr>
              <w:pStyle w:val="NoSpacing"/>
            </w:pPr>
          </w:p>
        </w:tc>
      </w:tr>
      <w:tr w:rsidR="003E2580" w:rsidRPr="00C20C1A" w14:paraId="56CE79A8" w14:textId="77777777" w:rsidTr="00D00C9B">
        <w:trPr>
          <w:trHeight w:val="368"/>
        </w:trPr>
        <w:tc>
          <w:tcPr>
            <w:tcW w:w="2160" w:type="dxa"/>
            <w:vMerge/>
            <w:tcBorders>
              <w:left w:val="single" w:sz="8" w:space="0" w:color="auto"/>
              <w:right w:val="single" w:sz="8" w:space="0" w:color="auto"/>
            </w:tcBorders>
            <w:vAlign w:val="center"/>
            <w:hideMark/>
          </w:tcPr>
          <w:p w14:paraId="05E3BC2D" w14:textId="77777777" w:rsidR="003E2580" w:rsidRPr="00C20C1A" w:rsidRDefault="003E2580"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0CB6AB18" w14:textId="48652926" w:rsidR="003E2580" w:rsidRPr="00C20C1A" w:rsidRDefault="00D00C9B" w:rsidP="00DB3F6A">
            <w:pPr>
              <w:pStyle w:val="NoSpacing"/>
            </w:pPr>
            <w:r>
              <w:t>Payment for vacation, parental, family, medical, or sick leave</w:t>
            </w:r>
          </w:p>
        </w:tc>
      </w:tr>
      <w:tr w:rsidR="003E2580" w:rsidRPr="00C20C1A" w14:paraId="7AB2DAB5" w14:textId="77777777" w:rsidTr="0044175C">
        <w:trPr>
          <w:trHeight w:val="340"/>
        </w:trPr>
        <w:tc>
          <w:tcPr>
            <w:tcW w:w="2160" w:type="dxa"/>
            <w:vMerge/>
            <w:tcBorders>
              <w:left w:val="single" w:sz="8" w:space="0" w:color="auto"/>
              <w:right w:val="single" w:sz="8" w:space="0" w:color="auto"/>
            </w:tcBorders>
            <w:vAlign w:val="center"/>
            <w:hideMark/>
          </w:tcPr>
          <w:p w14:paraId="4A1DF5E0" w14:textId="77777777" w:rsidR="003E2580" w:rsidRPr="00C20C1A" w:rsidRDefault="003E2580"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hideMark/>
          </w:tcPr>
          <w:p w14:paraId="468F459A" w14:textId="77777777" w:rsidR="00D00C9B" w:rsidRDefault="00D00C9B" w:rsidP="00D00C9B">
            <w:pPr>
              <w:pStyle w:val="NoSpacing"/>
            </w:pPr>
            <w:r>
              <w:t>Allowance for dismissal or separation</w:t>
            </w:r>
          </w:p>
          <w:p w14:paraId="7A6E7607" w14:textId="18E3BA6A" w:rsidR="003E2580" w:rsidRPr="00C20C1A" w:rsidRDefault="003E2580" w:rsidP="00DB3F6A">
            <w:pPr>
              <w:pStyle w:val="NoSpacing"/>
            </w:pPr>
          </w:p>
        </w:tc>
      </w:tr>
      <w:tr w:rsidR="003E2580" w:rsidRPr="00C20C1A" w14:paraId="24FF46A5" w14:textId="77777777" w:rsidTr="00D00C9B">
        <w:trPr>
          <w:trHeight w:val="602"/>
        </w:trPr>
        <w:tc>
          <w:tcPr>
            <w:tcW w:w="2160" w:type="dxa"/>
            <w:vMerge/>
            <w:tcBorders>
              <w:left w:val="single" w:sz="8" w:space="0" w:color="auto"/>
              <w:right w:val="single" w:sz="8" w:space="0" w:color="auto"/>
            </w:tcBorders>
            <w:vAlign w:val="center"/>
          </w:tcPr>
          <w:p w14:paraId="284BB816" w14:textId="77777777" w:rsidR="003E2580" w:rsidRPr="00C20C1A" w:rsidRDefault="003E2580"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7BE1EAF2" w14:textId="2FC5FDB5" w:rsidR="003E2580" w:rsidRDefault="00D00C9B" w:rsidP="00DB3F6A">
            <w:pPr>
              <w:pStyle w:val="NoSpacing"/>
            </w:pPr>
            <w:r>
              <w:t>Payment required for the provisions of group health care benefits, including insurance premiums</w:t>
            </w:r>
          </w:p>
        </w:tc>
      </w:tr>
      <w:tr w:rsidR="00D00C9B" w:rsidRPr="00C20C1A" w14:paraId="3CF22E4D" w14:textId="77777777" w:rsidTr="0044175C">
        <w:trPr>
          <w:trHeight w:val="340"/>
        </w:trPr>
        <w:tc>
          <w:tcPr>
            <w:tcW w:w="2160" w:type="dxa"/>
            <w:vMerge/>
            <w:tcBorders>
              <w:left w:val="single" w:sz="8" w:space="0" w:color="auto"/>
              <w:right w:val="single" w:sz="8" w:space="0" w:color="auto"/>
            </w:tcBorders>
            <w:vAlign w:val="center"/>
          </w:tcPr>
          <w:p w14:paraId="28FFC6B9"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777775E1" w14:textId="68A8A255" w:rsidR="00D00C9B" w:rsidRDefault="00D00C9B" w:rsidP="00DB3F6A">
            <w:pPr>
              <w:pStyle w:val="NoSpacing"/>
            </w:pPr>
            <w:r>
              <w:t>Payment of any retirement benefit</w:t>
            </w:r>
          </w:p>
        </w:tc>
      </w:tr>
      <w:tr w:rsidR="00D00C9B" w:rsidRPr="00C20C1A" w14:paraId="17F98D68" w14:textId="77777777" w:rsidTr="0044175C">
        <w:trPr>
          <w:trHeight w:val="340"/>
        </w:trPr>
        <w:tc>
          <w:tcPr>
            <w:tcW w:w="2160" w:type="dxa"/>
            <w:vMerge/>
            <w:tcBorders>
              <w:left w:val="single" w:sz="8" w:space="0" w:color="auto"/>
              <w:right w:val="single" w:sz="8" w:space="0" w:color="auto"/>
            </w:tcBorders>
            <w:vAlign w:val="center"/>
          </w:tcPr>
          <w:p w14:paraId="31E719AA"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09D0527F" w14:textId="3EF1A5E8" w:rsidR="00D00C9B" w:rsidRDefault="00D00C9B" w:rsidP="00DB3F6A">
            <w:pPr>
              <w:pStyle w:val="NoSpacing"/>
            </w:pPr>
            <w:r>
              <w:t>Payment of state or local tax assessed on the compensation of employees</w:t>
            </w:r>
          </w:p>
        </w:tc>
      </w:tr>
      <w:tr w:rsidR="00D00C9B" w:rsidRPr="00C20C1A" w14:paraId="6DCE8EDD" w14:textId="77777777" w:rsidTr="00D00C9B">
        <w:trPr>
          <w:trHeight w:val="1187"/>
        </w:trPr>
        <w:tc>
          <w:tcPr>
            <w:tcW w:w="2160" w:type="dxa"/>
            <w:vMerge/>
            <w:tcBorders>
              <w:left w:val="single" w:sz="8" w:space="0" w:color="auto"/>
              <w:bottom w:val="single" w:sz="8" w:space="0" w:color="000000"/>
              <w:right w:val="single" w:sz="8" w:space="0" w:color="auto"/>
            </w:tcBorders>
            <w:vAlign w:val="center"/>
          </w:tcPr>
          <w:p w14:paraId="4BBE45D0" w14:textId="77777777" w:rsidR="00D00C9B" w:rsidRPr="00C20C1A" w:rsidRDefault="00D00C9B" w:rsidP="00D00C9B">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tcPr>
          <w:p w14:paraId="5D890D42" w14:textId="75C84F99" w:rsidR="00D00C9B" w:rsidRDefault="00D00C9B" w:rsidP="00D00C9B">
            <w:pPr>
              <w:pStyle w:val="NoSpacing"/>
            </w:pPr>
            <w:r>
              <w:t xml:space="preserve">The sum of payments of any compensation to or income of a sole proprietor or independent contractor that is a wage, commission, income, net earnings from self-employment, or similar compensation and that is in an amount that is not more than $100K in 1 year, as prorated for the period February 15, 2020 to June 30, 2020 </w:t>
            </w:r>
          </w:p>
        </w:tc>
      </w:tr>
    </w:tbl>
    <w:p w14:paraId="4C14849D" w14:textId="6DDDAD69" w:rsidR="003E2580" w:rsidRDefault="003E2580" w:rsidP="003E2580">
      <w:pPr>
        <w:pStyle w:val="NoSpacing"/>
      </w:pPr>
    </w:p>
    <w:p w14:paraId="6C5291E6" w14:textId="77777777" w:rsidR="00D00C9B" w:rsidRPr="003E2580" w:rsidRDefault="00D00C9B" w:rsidP="003E2580">
      <w:pPr>
        <w:pStyle w:val="NoSpacing"/>
      </w:pPr>
    </w:p>
    <w:tbl>
      <w:tblPr>
        <w:tblW w:w="10170" w:type="dxa"/>
        <w:tblInd w:w="-10" w:type="dxa"/>
        <w:tblLook w:val="04A0" w:firstRow="1" w:lastRow="0" w:firstColumn="1" w:lastColumn="0" w:noHBand="0" w:noVBand="1"/>
      </w:tblPr>
      <w:tblGrid>
        <w:gridCol w:w="2160"/>
        <w:gridCol w:w="8010"/>
      </w:tblGrid>
      <w:tr w:rsidR="00D00C9B" w:rsidRPr="00C20C1A" w14:paraId="25AD639A" w14:textId="77777777" w:rsidTr="00D00C9B">
        <w:trPr>
          <w:trHeight w:val="385"/>
        </w:trPr>
        <w:tc>
          <w:tcPr>
            <w:tcW w:w="2160" w:type="dxa"/>
            <w:vMerge w:val="restart"/>
            <w:tcBorders>
              <w:top w:val="single" w:sz="8" w:space="0" w:color="auto"/>
              <w:left w:val="single" w:sz="8" w:space="0" w:color="auto"/>
              <w:right w:val="single" w:sz="8" w:space="0" w:color="auto"/>
            </w:tcBorders>
            <w:shd w:val="clear" w:color="auto" w:fill="auto"/>
            <w:vAlign w:val="center"/>
            <w:hideMark/>
          </w:tcPr>
          <w:p w14:paraId="3CAB3D0B" w14:textId="0212E42D" w:rsidR="00D00C9B" w:rsidRPr="00C20C1A" w:rsidRDefault="00D00C9B" w:rsidP="00DB3F6A">
            <w:pPr>
              <w:spacing w:after="0" w:line="240" w:lineRule="auto"/>
              <w:rPr>
                <w:rFonts w:ascii="Calibri" w:eastAsia="Times New Roman" w:hAnsi="Calibri" w:cs="Calibri"/>
                <w:b/>
                <w:bCs/>
                <w:color w:val="000000"/>
              </w:rPr>
            </w:pPr>
            <w:r>
              <w:t xml:space="preserve">Payroll costs shall </w:t>
            </w:r>
            <w:r w:rsidRPr="00D00C9B">
              <w:rPr>
                <w:b/>
                <w:bCs/>
                <w:u w:val="single"/>
              </w:rPr>
              <w:t>NOT</w:t>
            </w:r>
            <w:r w:rsidRPr="00D00C9B">
              <w:rPr>
                <w:b/>
                <w:bCs/>
              </w:rPr>
              <w:t xml:space="preserve"> include</w:t>
            </w:r>
            <w:r>
              <w:t>:</w:t>
            </w:r>
          </w:p>
        </w:tc>
        <w:tc>
          <w:tcPr>
            <w:tcW w:w="8010" w:type="dxa"/>
            <w:tcBorders>
              <w:top w:val="single" w:sz="8" w:space="0" w:color="auto"/>
              <w:left w:val="nil"/>
              <w:bottom w:val="dotted" w:sz="4" w:space="0" w:color="auto"/>
              <w:right w:val="single" w:sz="8" w:space="0" w:color="auto"/>
            </w:tcBorders>
            <w:shd w:val="clear" w:color="auto" w:fill="auto"/>
          </w:tcPr>
          <w:p w14:paraId="10519AD4" w14:textId="14E4B66E" w:rsidR="00D00C9B" w:rsidRPr="00C20C1A" w:rsidRDefault="00D00C9B" w:rsidP="00DB3F6A">
            <w:pPr>
              <w:pStyle w:val="NoSpacing"/>
            </w:pPr>
            <w:r>
              <w:t>Compensation of an individual employee in excess of an annual salary of $100K, as prorated for the period February 15, 2020 to June 30, 2020</w:t>
            </w:r>
          </w:p>
        </w:tc>
      </w:tr>
      <w:tr w:rsidR="00D00C9B" w:rsidRPr="00C20C1A" w14:paraId="25B38B9F" w14:textId="77777777" w:rsidTr="00D00C9B">
        <w:trPr>
          <w:trHeight w:val="350"/>
        </w:trPr>
        <w:tc>
          <w:tcPr>
            <w:tcW w:w="2160" w:type="dxa"/>
            <w:vMerge/>
            <w:tcBorders>
              <w:left w:val="single" w:sz="8" w:space="0" w:color="auto"/>
              <w:right w:val="single" w:sz="8" w:space="0" w:color="auto"/>
            </w:tcBorders>
            <w:vAlign w:val="center"/>
            <w:hideMark/>
          </w:tcPr>
          <w:p w14:paraId="07D2C159"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0C2FED69" w14:textId="09468AA1" w:rsidR="00D00C9B" w:rsidRPr="00C20C1A" w:rsidRDefault="00D00C9B" w:rsidP="00DB3F6A">
            <w:pPr>
              <w:pStyle w:val="NoSpacing"/>
            </w:pPr>
            <w:r>
              <w:t>Federal payroll taxes</w:t>
            </w:r>
          </w:p>
        </w:tc>
      </w:tr>
      <w:tr w:rsidR="00D00C9B" w:rsidRPr="00C20C1A" w14:paraId="6864A6E4" w14:textId="77777777" w:rsidTr="00DB3F6A">
        <w:trPr>
          <w:trHeight w:val="368"/>
        </w:trPr>
        <w:tc>
          <w:tcPr>
            <w:tcW w:w="2160" w:type="dxa"/>
            <w:vMerge/>
            <w:tcBorders>
              <w:left w:val="single" w:sz="8" w:space="0" w:color="auto"/>
              <w:right w:val="single" w:sz="8" w:space="0" w:color="auto"/>
            </w:tcBorders>
            <w:vAlign w:val="center"/>
            <w:hideMark/>
          </w:tcPr>
          <w:p w14:paraId="74000842"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4049C057" w14:textId="2A8E48EC" w:rsidR="00D00C9B" w:rsidRPr="00C20C1A" w:rsidRDefault="00D00C9B" w:rsidP="00DB3F6A">
            <w:pPr>
              <w:pStyle w:val="NoSpacing"/>
            </w:pPr>
            <w:r>
              <w:t>Any compensation of an employee whose principal place of residence is outside of the US</w:t>
            </w:r>
          </w:p>
        </w:tc>
      </w:tr>
      <w:tr w:rsidR="00D00C9B" w:rsidRPr="00C20C1A" w14:paraId="606A2F9C" w14:textId="77777777" w:rsidTr="00D00C9B">
        <w:trPr>
          <w:trHeight w:val="340"/>
        </w:trPr>
        <w:tc>
          <w:tcPr>
            <w:tcW w:w="2160" w:type="dxa"/>
            <w:vMerge/>
            <w:tcBorders>
              <w:left w:val="single" w:sz="8" w:space="0" w:color="auto"/>
              <w:right w:val="single" w:sz="8" w:space="0" w:color="auto"/>
            </w:tcBorders>
            <w:vAlign w:val="center"/>
            <w:hideMark/>
          </w:tcPr>
          <w:p w14:paraId="78635822"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2681E63B" w14:textId="10A2A7E9" w:rsidR="00D00C9B" w:rsidRPr="00C20C1A" w:rsidRDefault="00D00C9B" w:rsidP="00DB3F6A">
            <w:pPr>
              <w:pStyle w:val="NoSpacing"/>
            </w:pPr>
            <w:r>
              <w:t xml:space="preserve">Qualified sick leave wages for which a credit is allowed under section 7001 of the Families First Coronavirus Response Act (“FFCRA”) </w:t>
            </w:r>
          </w:p>
        </w:tc>
      </w:tr>
      <w:tr w:rsidR="00D00C9B" w:rsidRPr="00C20C1A" w14:paraId="63767617" w14:textId="77777777" w:rsidTr="00D00C9B">
        <w:trPr>
          <w:trHeight w:val="575"/>
        </w:trPr>
        <w:tc>
          <w:tcPr>
            <w:tcW w:w="2160" w:type="dxa"/>
            <w:vMerge/>
            <w:tcBorders>
              <w:left w:val="single" w:sz="8" w:space="0" w:color="auto"/>
              <w:bottom w:val="single" w:sz="8" w:space="0" w:color="000000"/>
              <w:right w:val="single" w:sz="8" w:space="0" w:color="auto"/>
            </w:tcBorders>
            <w:vAlign w:val="center"/>
          </w:tcPr>
          <w:p w14:paraId="6DB78C13"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tcPr>
          <w:p w14:paraId="3585A778" w14:textId="01317FAF" w:rsidR="00D00C9B" w:rsidRDefault="00D00C9B" w:rsidP="00DB3F6A">
            <w:pPr>
              <w:pStyle w:val="NoSpacing"/>
            </w:pPr>
            <w:r>
              <w:t>Qualified family leave wages for which a credit is allowed under section 7003 of the FFCRA</w:t>
            </w:r>
          </w:p>
        </w:tc>
      </w:tr>
    </w:tbl>
    <w:p w14:paraId="60818A56" w14:textId="7559D0DB" w:rsidR="00A46A37" w:rsidRDefault="00A46A37" w:rsidP="003E2580">
      <w:pPr>
        <w:pStyle w:val="NoSpacing"/>
      </w:pPr>
    </w:p>
    <w:p w14:paraId="23C71D89" w14:textId="77777777" w:rsidR="003D4B66" w:rsidRDefault="003D4B66" w:rsidP="003D4B66">
      <w:pPr>
        <w:pStyle w:val="NoSpacing"/>
      </w:pPr>
    </w:p>
    <w:p w14:paraId="0E2F6331" w14:textId="77777777" w:rsidR="003D4B66" w:rsidRDefault="003D4B66" w:rsidP="003D4B66">
      <w:pPr>
        <w:pStyle w:val="NoSpacing"/>
      </w:pPr>
    </w:p>
    <w:p w14:paraId="4AFCFE31" w14:textId="2A928DE6" w:rsidR="003D4B66" w:rsidRDefault="003D4B66" w:rsidP="00B22B9F">
      <w:pPr>
        <w:pStyle w:val="NoSpacing"/>
        <w:jc w:val="center"/>
        <w:rPr>
          <w:b/>
          <w:bCs/>
          <w:sz w:val="28"/>
          <w:szCs w:val="28"/>
        </w:rPr>
      </w:pPr>
      <w:r w:rsidRPr="00B22B9F">
        <w:rPr>
          <w:b/>
          <w:bCs/>
          <w:sz w:val="28"/>
          <w:szCs w:val="28"/>
        </w:rPr>
        <w:lastRenderedPageBreak/>
        <w:t>ALLOWABLE USES OF LOAN PROCEEDS</w:t>
      </w:r>
    </w:p>
    <w:p w14:paraId="535A8154" w14:textId="77777777" w:rsidR="00D00C9B" w:rsidRPr="00D00C9B" w:rsidRDefault="00D00C9B" w:rsidP="00B22B9F">
      <w:pPr>
        <w:pStyle w:val="NoSpacing"/>
        <w:jc w:val="center"/>
      </w:pPr>
    </w:p>
    <w:tbl>
      <w:tblPr>
        <w:tblW w:w="10170" w:type="dxa"/>
        <w:tblInd w:w="-10" w:type="dxa"/>
        <w:tblLook w:val="04A0" w:firstRow="1" w:lastRow="0" w:firstColumn="1" w:lastColumn="0" w:noHBand="0" w:noVBand="1"/>
      </w:tblPr>
      <w:tblGrid>
        <w:gridCol w:w="2160"/>
        <w:gridCol w:w="8010"/>
      </w:tblGrid>
      <w:tr w:rsidR="00D00C9B" w:rsidRPr="00C20C1A" w14:paraId="4CD58DBC" w14:textId="77777777" w:rsidTr="001438FD">
        <w:trPr>
          <w:trHeight w:val="358"/>
        </w:trPr>
        <w:tc>
          <w:tcPr>
            <w:tcW w:w="2160" w:type="dxa"/>
            <w:vMerge w:val="restart"/>
            <w:tcBorders>
              <w:top w:val="single" w:sz="8" w:space="0" w:color="auto"/>
              <w:left w:val="single" w:sz="8" w:space="0" w:color="auto"/>
              <w:right w:val="single" w:sz="8" w:space="0" w:color="auto"/>
            </w:tcBorders>
            <w:shd w:val="clear" w:color="auto" w:fill="auto"/>
            <w:vAlign w:val="center"/>
            <w:hideMark/>
          </w:tcPr>
          <w:p w14:paraId="297CFD1A" w14:textId="083B1DB4" w:rsidR="00D00C9B" w:rsidRDefault="00D00C9B" w:rsidP="00D00C9B">
            <w:r>
              <w:t>During the period of February 15, 2020 to June 30, 2020, loan proceeds may be used for:</w:t>
            </w:r>
          </w:p>
          <w:p w14:paraId="68357AE4" w14:textId="3B069CF9"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single" w:sz="8" w:space="0" w:color="auto"/>
              <w:left w:val="nil"/>
              <w:bottom w:val="dotted" w:sz="4" w:space="0" w:color="auto"/>
              <w:right w:val="single" w:sz="8" w:space="0" w:color="auto"/>
            </w:tcBorders>
            <w:shd w:val="clear" w:color="auto" w:fill="auto"/>
          </w:tcPr>
          <w:p w14:paraId="66B8710B" w14:textId="5C874B65" w:rsidR="00D00C9B" w:rsidRPr="00C20C1A" w:rsidRDefault="001438FD" w:rsidP="00DB3F6A">
            <w:pPr>
              <w:pStyle w:val="NoSpacing"/>
            </w:pPr>
            <w:r>
              <w:t>Payroll costs</w:t>
            </w:r>
          </w:p>
        </w:tc>
      </w:tr>
      <w:tr w:rsidR="00D00C9B" w:rsidRPr="00C20C1A" w14:paraId="2BA07BD7" w14:textId="77777777" w:rsidTr="001438FD">
        <w:trPr>
          <w:trHeight w:val="593"/>
        </w:trPr>
        <w:tc>
          <w:tcPr>
            <w:tcW w:w="2160" w:type="dxa"/>
            <w:vMerge/>
            <w:tcBorders>
              <w:left w:val="single" w:sz="8" w:space="0" w:color="auto"/>
              <w:right w:val="single" w:sz="8" w:space="0" w:color="auto"/>
            </w:tcBorders>
            <w:vAlign w:val="center"/>
            <w:hideMark/>
          </w:tcPr>
          <w:p w14:paraId="37AB3DDD"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7055EE36" w14:textId="2D1AD2E2" w:rsidR="00D00C9B" w:rsidRPr="00C20C1A" w:rsidRDefault="001438FD" w:rsidP="00DB3F6A">
            <w:pPr>
              <w:pStyle w:val="NoSpacing"/>
            </w:pPr>
            <w:r>
              <w:t xml:space="preserve">Costs related to the continuation of group health care benefits during periods of paid sick leave, medical or family leave, </w:t>
            </w:r>
            <w:r w:rsidRPr="003D4B66">
              <w:t>and insurance premiums</w:t>
            </w:r>
          </w:p>
        </w:tc>
      </w:tr>
      <w:tr w:rsidR="00D00C9B" w:rsidRPr="00C20C1A" w14:paraId="31ED49EE" w14:textId="77777777" w:rsidTr="00DB3F6A">
        <w:trPr>
          <w:trHeight w:val="368"/>
        </w:trPr>
        <w:tc>
          <w:tcPr>
            <w:tcW w:w="2160" w:type="dxa"/>
            <w:vMerge/>
            <w:tcBorders>
              <w:left w:val="single" w:sz="8" w:space="0" w:color="auto"/>
              <w:right w:val="single" w:sz="8" w:space="0" w:color="auto"/>
            </w:tcBorders>
            <w:vAlign w:val="center"/>
            <w:hideMark/>
          </w:tcPr>
          <w:p w14:paraId="46BBA213"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27458ADF" w14:textId="560E0BB2" w:rsidR="00D00C9B" w:rsidRPr="00C20C1A" w:rsidRDefault="001438FD" w:rsidP="00DB3F6A">
            <w:pPr>
              <w:pStyle w:val="NoSpacing"/>
            </w:pPr>
            <w:r>
              <w:t>Employee salaries, commissions, or similar compensations</w:t>
            </w:r>
          </w:p>
        </w:tc>
      </w:tr>
      <w:tr w:rsidR="00D00C9B" w:rsidRPr="00C20C1A" w14:paraId="2145201D" w14:textId="77777777" w:rsidTr="001438FD">
        <w:trPr>
          <w:trHeight w:val="647"/>
        </w:trPr>
        <w:tc>
          <w:tcPr>
            <w:tcW w:w="2160" w:type="dxa"/>
            <w:vMerge/>
            <w:tcBorders>
              <w:left w:val="single" w:sz="8" w:space="0" w:color="auto"/>
              <w:right w:val="single" w:sz="8" w:space="0" w:color="auto"/>
            </w:tcBorders>
            <w:vAlign w:val="center"/>
            <w:hideMark/>
          </w:tcPr>
          <w:p w14:paraId="7739FCC9"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4CC79FAA" w14:textId="77BA32BC" w:rsidR="00D00C9B" w:rsidRPr="00C20C1A" w:rsidRDefault="001438FD" w:rsidP="00DB3F6A">
            <w:pPr>
              <w:pStyle w:val="NoSpacing"/>
            </w:pPr>
            <w:r>
              <w:t>Payments of interest on any mortgage obligation (which shall not include any prepayment of or payment of principal on a mortgage obligation)</w:t>
            </w:r>
          </w:p>
        </w:tc>
      </w:tr>
      <w:tr w:rsidR="00D00C9B" w:rsidRPr="00C20C1A" w14:paraId="6524FE56" w14:textId="77777777" w:rsidTr="001438FD">
        <w:trPr>
          <w:trHeight w:val="377"/>
        </w:trPr>
        <w:tc>
          <w:tcPr>
            <w:tcW w:w="2160" w:type="dxa"/>
            <w:vMerge/>
            <w:tcBorders>
              <w:left w:val="single" w:sz="8" w:space="0" w:color="auto"/>
              <w:right w:val="single" w:sz="8" w:space="0" w:color="auto"/>
            </w:tcBorders>
            <w:vAlign w:val="center"/>
          </w:tcPr>
          <w:p w14:paraId="73EDCCD4"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04D7C81F" w14:textId="3CD7CA08" w:rsidR="00D00C9B" w:rsidRDefault="001438FD" w:rsidP="00DB3F6A">
            <w:pPr>
              <w:pStyle w:val="NoSpacing"/>
            </w:pPr>
            <w:r>
              <w:t>Rent (including rent under a lease agreement)</w:t>
            </w:r>
          </w:p>
        </w:tc>
      </w:tr>
      <w:tr w:rsidR="00D00C9B" w:rsidRPr="00C20C1A" w14:paraId="46B6E0CE" w14:textId="77777777" w:rsidTr="00DB3F6A">
        <w:trPr>
          <w:trHeight w:val="340"/>
        </w:trPr>
        <w:tc>
          <w:tcPr>
            <w:tcW w:w="2160" w:type="dxa"/>
            <w:vMerge/>
            <w:tcBorders>
              <w:left w:val="single" w:sz="8" w:space="0" w:color="auto"/>
              <w:right w:val="single" w:sz="8" w:space="0" w:color="auto"/>
            </w:tcBorders>
            <w:vAlign w:val="center"/>
          </w:tcPr>
          <w:p w14:paraId="573E2878"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06A36DC5" w14:textId="246A2B0A" w:rsidR="00D00C9B" w:rsidRDefault="001438FD" w:rsidP="00DB3F6A">
            <w:pPr>
              <w:pStyle w:val="NoSpacing"/>
            </w:pPr>
            <w:r>
              <w:t>Utilities</w:t>
            </w:r>
          </w:p>
        </w:tc>
      </w:tr>
      <w:tr w:rsidR="00D00C9B" w:rsidRPr="00C20C1A" w14:paraId="3F9DFA27" w14:textId="77777777" w:rsidTr="001438FD">
        <w:trPr>
          <w:trHeight w:val="395"/>
        </w:trPr>
        <w:tc>
          <w:tcPr>
            <w:tcW w:w="2160" w:type="dxa"/>
            <w:vMerge/>
            <w:tcBorders>
              <w:left w:val="single" w:sz="8" w:space="0" w:color="auto"/>
              <w:bottom w:val="single" w:sz="8" w:space="0" w:color="000000"/>
              <w:right w:val="single" w:sz="8" w:space="0" w:color="auto"/>
            </w:tcBorders>
            <w:vAlign w:val="center"/>
          </w:tcPr>
          <w:p w14:paraId="52C3B21C" w14:textId="77777777" w:rsidR="00D00C9B" w:rsidRPr="00C20C1A" w:rsidRDefault="00D00C9B"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tcPr>
          <w:p w14:paraId="3894CD8A" w14:textId="4DE77B67" w:rsidR="00D00C9B" w:rsidRDefault="001438FD" w:rsidP="00DB3F6A">
            <w:pPr>
              <w:pStyle w:val="NoSpacing"/>
            </w:pPr>
            <w:r>
              <w:t>Interest on any other debt obligations that were incurred before February 15, 2020</w:t>
            </w:r>
          </w:p>
        </w:tc>
      </w:tr>
    </w:tbl>
    <w:p w14:paraId="753A98B5" w14:textId="77777777" w:rsidR="00B22B9F" w:rsidRDefault="00B22B9F" w:rsidP="001438FD">
      <w:pPr>
        <w:pStyle w:val="NoSpacing"/>
      </w:pPr>
    </w:p>
    <w:p w14:paraId="37AA3C00" w14:textId="72A1327D" w:rsidR="003D4B66" w:rsidRDefault="003D4B66" w:rsidP="001438FD">
      <w:pPr>
        <w:pStyle w:val="NoSpacing"/>
      </w:pPr>
    </w:p>
    <w:p w14:paraId="37098EC1" w14:textId="77777777" w:rsidR="001836BC" w:rsidRPr="00B22B9F" w:rsidRDefault="001836BC" w:rsidP="007C29CE">
      <w:pPr>
        <w:pStyle w:val="NoSpacing"/>
        <w:spacing w:after="240"/>
        <w:jc w:val="center"/>
        <w:rPr>
          <w:b/>
          <w:bCs/>
          <w:sz w:val="28"/>
          <w:szCs w:val="28"/>
        </w:rPr>
      </w:pPr>
      <w:r w:rsidRPr="00B22B9F">
        <w:rPr>
          <w:b/>
          <w:bCs/>
          <w:sz w:val="28"/>
          <w:szCs w:val="28"/>
        </w:rPr>
        <w:t>LOAN FORGIVENESS</w:t>
      </w:r>
    </w:p>
    <w:tbl>
      <w:tblPr>
        <w:tblW w:w="10170" w:type="dxa"/>
        <w:tblInd w:w="-10" w:type="dxa"/>
        <w:tblLook w:val="04A0" w:firstRow="1" w:lastRow="0" w:firstColumn="1" w:lastColumn="0" w:noHBand="0" w:noVBand="1"/>
      </w:tblPr>
      <w:tblGrid>
        <w:gridCol w:w="2160"/>
        <w:gridCol w:w="8010"/>
      </w:tblGrid>
      <w:tr w:rsidR="00CA5205" w:rsidRPr="00C20C1A" w14:paraId="5B11CAF0" w14:textId="77777777" w:rsidTr="00E86E48">
        <w:trPr>
          <w:trHeight w:val="2095"/>
        </w:trPr>
        <w:tc>
          <w:tcPr>
            <w:tcW w:w="2160" w:type="dxa"/>
            <w:vMerge w:val="restart"/>
            <w:tcBorders>
              <w:top w:val="single" w:sz="8" w:space="0" w:color="auto"/>
              <w:left w:val="single" w:sz="8" w:space="0" w:color="auto"/>
              <w:right w:val="single" w:sz="8" w:space="0" w:color="auto"/>
            </w:tcBorders>
            <w:shd w:val="clear" w:color="auto" w:fill="auto"/>
            <w:vAlign w:val="center"/>
            <w:hideMark/>
          </w:tcPr>
          <w:p w14:paraId="7E824B70" w14:textId="7EAF41B5" w:rsidR="00CA5205" w:rsidRPr="00C20C1A" w:rsidRDefault="00CA5205" w:rsidP="00DB3F6A">
            <w:pPr>
              <w:spacing w:after="0" w:line="240" w:lineRule="auto"/>
              <w:rPr>
                <w:rFonts w:ascii="Calibri" w:eastAsia="Times New Roman" w:hAnsi="Calibri" w:cs="Calibri"/>
                <w:b/>
                <w:bCs/>
                <w:color w:val="000000"/>
              </w:rPr>
            </w:pPr>
            <w:r>
              <w:rPr>
                <w:b/>
                <w:bCs/>
              </w:rPr>
              <w:t>Loan Forgiveness</w:t>
            </w:r>
          </w:p>
        </w:tc>
        <w:tc>
          <w:tcPr>
            <w:tcW w:w="8010" w:type="dxa"/>
            <w:tcBorders>
              <w:top w:val="single" w:sz="8" w:space="0" w:color="auto"/>
              <w:left w:val="nil"/>
              <w:bottom w:val="dotted" w:sz="4" w:space="0" w:color="auto"/>
              <w:right w:val="single" w:sz="8" w:space="0" w:color="auto"/>
            </w:tcBorders>
            <w:shd w:val="clear" w:color="auto" w:fill="auto"/>
          </w:tcPr>
          <w:p w14:paraId="79552C48" w14:textId="77777777" w:rsidR="0071440B" w:rsidRDefault="0071440B" w:rsidP="0071440B">
            <w:pPr>
              <w:pStyle w:val="NoSpacing"/>
            </w:pPr>
            <w:r>
              <w:t>PPLs are eligible for forgiveness, not to exceed principal, in an amount equal to the sum of the following costs incurred and payments made during the 8-week period beginning on the origination date of the PPL (the “covered period”):</w:t>
            </w:r>
          </w:p>
          <w:p w14:paraId="5390B6D9" w14:textId="77777777" w:rsidR="0071440B" w:rsidRDefault="0071440B" w:rsidP="0071440B">
            <w:pPr>
              <w:pStyle w:val="ListParagraph"/>
              <w:numPr>
                <w:ilvl w:val="1"/>
                <w:numId w:val="5"/>
              </w:numPr>
              <w:ind w:left="706"/>
            </w:pPr>
            <w:r>
              <w:t>Payroll costs</w:t>
            </w:r>
          </w:p>
          <w:p w14:paraId="71C383DD" w14:textId="77777777" w:rsidR="0071440B" w:rsidRDefault="0071440B" w:rsidP="0071440B">
            <w:pPr>
              <w:pStyle w:val="ListParagraph"/>
              <w:numPr>
                <w:ilvl w:val="1"/>
                <w:numId w:val="5"/>
              </w:numPr>
              <w:ind w:left="706"/>
            </w:pPr>
            <w:r>
              <w:t>Payments of mortgage interest</w:t>
            </w:r>
          </w:p>
          <w:p w14:paraId="74A697BD" w14:textId="77777777" w:rsidR="0071440B" w:rsidRDefault="0071440B" w:rsidP="0071440B">
            <w:pPr>
              <w:pStyle w:val="ListParagraph"/>
              <w:numPr>
                <w:ilvl w:val="1"/>
                <w:numId w:val="5"/>
              </w:numPr>
              <w:ind w:left="706"/>
            </w:pPr>
            <w:r>
              <w:t>Payments on rent obligation</w:t>
            </w:r>
          </w:p>
          <w:p w14:paraId="679505F1" w14:textId="3E538A91" w:rsidR="00CA5205" w:rsidRPr="00C20C1A" w:rsidRDefault="0071440B" w:rsidP="0071440B">
            <w:pPr>
              <w:pStyle w:val="ListParagraph"/>
              <w:numPr>
                <w:ilvl w:val="1"/>
                <w:numId w:val="5"/>
              </w:numPr>
              <w:ind w:left="706"/>
            </w:pPr>
            <w:r>
              <w:t>Utility payments</w:t>
            </w:r>
          </w:p>
        </w:tc>
      </w:tr>
      <w:tr w:rsidR="00CA5205" w:rsidRPr="00C20C1A" w14:paraId="2155BEE3" w14:textId="77777777" w:rsidTr="00E86E48">
        <w:trPr>
          <w:trHeight w:val="2312"/>
        </w:trPr>
        <w:tc>
          <w:tcPr>
            <w:tcW w:w="2160" w:type="dxa"/>
            <w:vMerge/>
            <w:tcBorders>
              <w:left w:val="single" w:sz="8" w:space="0" w:color="auto"/>
              <w:right w:val="single" w:sz="8" w:space="0" w:color="auto"/>
            </w:tcBorders>
            <w:vAlign w:val="center"/>
            <w:hideMark/>
          </w:tcPr>
          <w:p w14:paraId="54A3319A" w14:textId="77777777" w:rsidR="00CA5205" w:rsidRPr="00C20C1A" w:rsidRDefault="00CA5205"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4CA2EC72" w14:textId="2A60C9F6" w:rsidR="00CA5205" w:rsidRPr="00C20C1A" w:rsidRDefault="002C080D" w:rsidP="00DB3F6A">
            <w:pPr>
              <w:pStyle w:val="NoSpacing"/>
            </w:pPr>
            <w:r w:rsidRPr="00BD1A72">
              <w:t xml:space="preserve">The amount of loan forgiveness shall be reduced by multiplying the amount by the quotient obtained by dividing the average number of full-time equivalent employees per month employed during the covered period by one of two denominators, at the election of the borrower. One is the average number of full-time equivalent employees per month employed during the period beginning on February 15, 2019 and ending on June 30, 2019. </w:t>
            </w:r>
            <w:r>
              <w:t>T</w:t>
            </w:r>
            <w:r w:rsidRPr="00BD1A72">
              <w:t>he other is the average number of full-time equivalent employees per month employed during the period beginning on January 1, 2020 and ending on February 29, 2020.</w:t>
            </w:r>
          </w:p>
        </w:tc>
      </w:tr>
      <w:tr w:rsidR="00CA5205" w:rsidRPr="00C20C1A" w14:paraId="7D517111" w14:textId="77777777" w:rsidTr="00E86E48">
        <w:trPr>
          <w:trHeight w:val="980"/>
        </w:trPr>
        <w:tc>
          <w:tcPr>
            <w:tcW w:w="2160" w:type="dxa"/>
            <w:vMerge/>
            <w:tcBorders>
              <w:left w:val="single" w:sz="8" w:space="0" w:color="auto"/>
              <w:right w:val="single" w:sz="8" w:space="0" w:color="auto"/>
            </w:tcBorders>
            <w:vAlign w:val="center"/>
            <w:hideMark/>
          </w:tcPr>
          <w:p w14:paraId="7188CC66" w14:textId="77777777" w:rsidR="00CA5205" w:rsidRPr="00C20C1A" w:rsidRDefault="00CA5205"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28165F44" w14:textId="4BECE880" w:rsidR="00CA5205" w:rsidRPr="00C20C1A" w:rsidRDefault="00C8799D" w:rsidP="00DB3F6A">
            <w:pPr>
              <w:pStyle w:val="NoSpacing"/>
            </w:pPr>
            <w:r>
              <w:t xml:space="preserve">The average number of full-time equivalent employees shall be determined by calculating the average number of full-time equivalent employees for each pay period falling within a month.  </w:t>
            </w:r>
          </w:p>
        </w:tc>
      </w:tr>
      <w:tr w:rsidR="00CA5205" w:rsidRPr="00C20C1A" w14:paraId="211BDC32" w14:textId="77777777" w:rsidTr="00E86E48">
        <w:trPr>
          <w:trHeight w:val="1790"/>
        </w:trPr>
        <w:tc>
          <w:tcPr>
            <w:tcW w:w="2160" w:type="dxa"/>
            <w:vMerge/>
            <w:tcBorders>
              <w:left w:val="single" w:sz="8" w:space="0" w:color="auto"/>
              <w:bottom w:val="single" w:sz="8" w:space="0" w:color="000000"/>
              <w:right w:val="single" w:sz="8" w:space="0" w:color="auto"/>
            </w:tcBorders>
            <w:vAlign w:val="center"/>
          </w:tcPr>
          <w:p w14:paraId="3FA93C04" w14:textId="77777777" w:rsidR="00CA5205" w:rsidRPr="00C20C1A" w:rsidRDefault="00CA5205"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tcPr>
          <w:p w14:paraId="5A704BE1" w14:textId="121B0250" w:rsidR="00CA5205" w:rsidRDefault="00E86E48" w:rsidP="00DB3F6A">
            <w:pPr>
              <w:pStyle w:val="NoSpacing"/>
            </w:pPr>
            <w:r>
              <w:t>The amount of loan forgiveness shall also be reduced by the amount of any reduction in total salary or wages of any employee who did not receive, during any single pay period in 2019, wages or salary at an annualized rate of pay in an amount more than $100,000, during the covered period that is in excess of 25% of the total salary or wages of the employee during the most recent full quarter during which the employee was employed before the covered period.</w:t>
            </w:r>
          </w:p>
        </w:tc>
      </w:tr>
    </w:tbl>
    <w:p w14:paraId="6DC28AE6" w14:textId="77777777" w:rsidR="00371252" w:rsidRDefault="00371252" w:rsidP="00371252">
      <w:pPr>
        <w:pStyle w:val="ListParagraph"/>
      </w:pPr>
    </w:p>
    <w:p w14:paraId="552C2BCB" w14:textId="4438B963" w:rsidR="001836BC" w:rsidRDefault="001836BC" w:rsidP="0071440B">
      <w:pPr>
        <w:pStyle w:val="NoSpacing"/>
      </w:pPr>
    </w:p>
    <w:tbl>
      <w:tblPr>
        <w:tblW w:w="10170" w:type="dxa"/>
        <w:tblInd w:w="-10" w:type="dxa"/>
        <w:tblLook w:val="04A0" w:firstRow="1" w:lastRow="0" w:firstColumn="1" w:lastColumn="0" w:noHBand="0" w:noVBand="1"/>
      </w:tblPr>
      <w:tblGrid>
        <w:gridCol w:w="2160"/>
        <w:gridCol w:w="8010"/>
      </w:tblGrid>
      <w:tr w:rsidR="00E86E48" w:rsidRPr="00C20C1A" w14:paraId="7E5B889B" w14:textId="77777777" w:rsidTr="009136C7">
        <w:trPr>
          <w:trHeight w:val="1780"/>
        </w:trPr>
        <w:tc>
          <w:tcPr>
            <w:tcW w:w="2160" w:type="dxa"/>
            <w:vMerge w:val="restart"/>
            <w:tcBorders>
              <w:top w:val="single" w:sz="8" w:space="0" w:color="auto"/>
              <w:left w:val="single" w:sz="8" w:space="0" w:color="auto"/>
              <w:right w:val="single" w:sz="8" w:space="0" w:color="auto"/>
            </w:tcBorders>
            <w:shd w:val="clear" w:color="auto" w:fill="auto"/>
            <w:vAlign w:val="center"/>
            <w:hideMark/>
          </w:tcPr>
          <w:p w14:paraId="600C55BA" w14:textId="77777777" w:rsidR="00E86E48" w:rsidRDefault="00E86E48" w:rsidP="00DB3F6A">
            <w:pPr>
              <w:spacing w:after="0" w:line="240" w:lineRule="auto"/>
              <w:rPr>
                <w:b/>
                <w:bCs/>
              </w:rPr>
            </w:pPr>
            <w:r>
              <w:rPr>
                <w:b/>
                <w:bCs/>
              </w:rPr>
              <w:lastRenderedPageBreak/>
              <w:t>Loan Forgiveness</w:t>
            </w:r>
          </w:p>
          <w:p w14:paraId="2871FDC1" w14:textId="614B6EA5" w:rsidR="00E86E48" w:rsidRPr="00C20C1A" w:rsidRDefault="00E86E48" w:rsidP="00DB3F6A">
            <w:pPr>
              <w:spacing w:after="0" w:line="240" w:lineRule="auto"/>
              <w:rPr>
                <w:rFonts w:ascii="Calibri" w:eastAsia="Times New Roman" w:hAnsi="Calibri" w:cs="Calibri"/>
                <w:b/>
                <w:bCs/>
                <w:color w:val="000000"/>
              </w:rPr>
            </w:pPr>
            <w:r>
              <w:rPr>
                <w:rFonts w:ascii="Calibri" w:eastAsia="Times New Roman" w:hAnsi="Calibri" w:cs="Calibri"/>
                <w:b/>
                <w:bCs/>
                <w:color w:val="000000"/>
              </w:rPr>
              <w:t>(Cont’d)</w:t>
            </w:r>
          </w:p>
        </w:tc>
        <w:tc>
          <w:tcPr>
            <w:tcW w:w="8010" w:type="dxa"/>
            <w:tcBorders>
              <w:top w:val="single" w:sz="8" w:space="0" w:color="auto"/>
              <w:left w:val="nil"/>
              <w:bottom w:val="dotted" w:sz="4" w:space="0" w:color="auto"/>
              <w:right w:val="single" w:sz="8" w:space="0" w:color="auto"/>
            </w:tcBorders>
            <w:shd w:val="clear" w:color="auto" w:fill="auto"/>
          </w:tcPr>
          <w:p w14:paraId="11AEEA34" w14:textId="546362E5" w:rsidR="00E86E48" w:rsidRPr="00C20C1A" w:rsidRDefault="00037838" w:rsidP="00037838">
            <w:pPr>
              <w:pStyle w:val="NoSpacing"/>
            </w:pPr>
            <w:r>
              <w:t>The reduction in the amount of loan forgiveness due to reduction in full time equivalent employees or reduction in salary shall not apply when during the period beginning on February 15, 2020 and ending on April 26, 2020 there is a reduction as compared to February 15, 2020 in the number of fulltime equivalent employees and/or in the salary or wages of 1 or more employees and not later than June 30, 2020 the reductions have been eliminated.</w:t>
            </w:r>
          </w:p>
        </w:tc>
      </w:tr>
      <w:tr w:rsidR="00E86E48" w:rsidRPr="00C20C1A" w14:paraId="6A84A3BD" w14:textId="77777777" w:rsidTr="00DB3F6A">
        <w:trPr>
          <w:trHeight w:val="2312"/>
        </w:trPr>
        <w:tc>
          <w:tcPr>
            <w:tcW w:w="2160" w:type="dxa"/>
            <w:vMerge/>
            <w:tcBorders>
              <w:left w:val="single" w:sz="8" w:space="0" w:color="auto"/>
              <w:right w:val="single" w:sz="8" w:space="0" w:color="auto"/>
            </w:tcBorders>
            <w:vAlign w:val="center"/>
            <w:hideMark/>
          </w:tcPr>
          <w:p w14:paraId="18949999" w14:textId="77777777" w:rsidR="00E86E48" w:rsidRPr="00C20C1A" w:rsidRDefault="00E86E48"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48E9F3E9" w14:textId="77777777" w:rsidR="009136C7" w:rsidRDefault="009136C7" w:rsidP="009136C7">
            <w:pPr>
              <w:pStyle w:val="NoSpacing"/>
            </w:pPr>
            <w:r>
              <w:t>The forgiveness application documents that must be submitted to the lender include:</w:t>
            </w:r>
          </w:p>
          <w:p w14:paraId="523EFD52" w14:textId="77777777" w:rsidR="009136C7" w:rsidRDefault="009136C7" w:rsidP="009136C7">
            <w:pPr>
              <w:pStyle w:val="ListParagraph"/>
              <w:numPr>
                <w:ilvl w:val="1"/>
                <w:numId w:val="5"/>
              </w:numPr>
              <w:ind w:left="706"/>
            </w:pPr>
            <w:r>
              <w:t>Documentation verifying number of full-time equivalent employees on payroll and pay rates for the periods described above, including IRS and state payroll tax reports</w:t>
            </w:r>
          </w:p>
          <w:p w14:paraId="55891E29" w14:textId="77777777" w:rsidR="009136C7" w:rsidRDefault="009136C7" w:rsidP="009136C7">
            <w:pPr>
              <w:pStyle w:val="ListParagraph"/>
              <w:numPr>
                <w:ilvl w:val="1"/>
                <w:numId w:val="5"/>
              </w:numPr>
              <w:ind w:left="706"/>
            </w:pPr>
            <w:r>
              <w:t>Documentation such as canceled checks and invoices verifying payments of eligible costs</w:t>
            </w:r>
          </w:p>
          <w:p w14:paraId="17D53CA7" w14:textId="751CFE88" w:rsidR="00E86E48" w:rsidRPr="00C20C1A" w:rsidRDefault="009136C7" w:rsidP="009136C7">
            <w:pPr>
              <w:pStyle w:val="ListParagraph"/>
              <w:numPr>
                <w:ilvl w:val="1"/>
                <w:numId w:val="5"/>
              </w:numPr>
              <w:ind w:left="706"/>
            </w:pPr>
            <w:r>
              <w:t>Certification that documentation is true and correct and that the amount for which forgiveness is requested was used for eligible purposes</w:t>
            </w:r>
          </w:p>
        </w:tc>
      </w:tr>
      <w:tr w:rsidR="00E86E48" w:rsidRPr="00C20C1A" w14:paraId="56CF826A" w14:textId="77777777" w:rsidTr="009136C7">
        <w:trPr>
          <w:trHeight w:val="692"/>
        </w:trPr>
        <w:tc>
          <w:tcPr>
            <w:tcW w:w="2160" w:type="dxa"/>
            <w:vMerge/>
            <w:tcBorders>
              <w:left w:val="single" w:sz="8" w:space="0" w:color="auto"/>
              <w:right w:val="single" w:sz="8" w:space="0" w:color="auto"/>
            </w:tcBorders>
            <w:vAlign w:val="center"/>
            <w:hideMark/>
          </w:tcPr>
          <w:p w14:paraId="7D8A7807" w14:textId="77777777" w:rsidR="00E86E48" w:rsidRPr="00C20C1A" w:rsidRDefault="00E86E48"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442B93BD" w14:textId="0F42DEB9" w:rsidR="00E86E48" w:rsidRPr="00C20C1A" w:rsidRDefault="009136C7" w:rsidP="00DB3F6A">
            <w:pPr>
              <w:pStyle w:val="NoSpacing"/>
            </w:pPr>
            <w:r>
              <w:t>The decision on forgiveness will be issued within 60 days from the date the forgiveness request is received by the lender</w:t>
            </w:r>
          </w:p>
        </w:tc>
      </w:tr>
      <w:tr w:rsidR="009136C7" w:rsidRPr="00C20C1A" w14:paraId="7E9E23B0" w14:textId="77777777" w:rsidTr="009136C7">
        <w:trPr>
          <w:trHeight w:val="692"/>
        </w:trPr>
        <w:tc>
          <w:tcPr>
            <w:tcW w:w="2160" w:type="dxa"/>
            <w:vMerge/>
            <w:tcBorders>
              <w:left w:val="single" w:sz="8" w:space="0" w:color="auto"/>
              <w:right w:val="single" w:sz="8" w:space="0" w:color="auto"/>
            </w:tcBorders>
            <w:vAlign w:val="center"/>
          </w:tcPr>
          <w:p w14:paraId="04A7898B" w14:textId="77777777" w:rsidR="009136C7" w:rsidRPr="00C20C1A" w:rsidRDefault="009136C7"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dotted" w:sz="4" w:space="0" w:color="auto"/>
              <w:right w:val="single" w:sz="8" w:space="0" w:color="auto"/>
            </w:tcBorders>
            <w:shd w:val="clear" w:color="auto" w:fill="auto"/>
          </w:tcPr>
          <w:p w14:paraId="2A5449C0" w14:textId="0BA1B24C" w:rsidR="009136C7" w:rsidRDefault="009136C7" w:rsidP="00DB3F6A">
            <w:pPr>
              <w:pStyle w:val="NoSpacing"/>
            </w:pPr>
            <w:r>
              <w:t>The amount of forgiveness is not includible in gross income for federal income tax purposes</w:t>
            </w:r>
          </w:p>
        </w:tc>
      </w:tr>
      <w:tr w:rsidR="00E86E48" w:rsidRPr="00C20C1A" w14:paraId="55FFAEF1" w14:textId="77777777" w:rsidTr="009136C7">
        <w:trPr>
          <w:trHeight w:val="728"/>
        </w:trPr>
        <w:tc>
          <w:tcPr>
            <w:tcW w:w="2160" w:type="dxa"/>
            <w:vMerge/>
            <w:tcBorders>
              <w:left w:val="single" w:sz="8" w:space="0" w:color="auto"/>
              <w:bottom w:val="single" w:sz="8" w:space="0" w:color="000000"/>
              <w:right w:val="single" w:sz="8" w:space="0" w:color="auto"/>
            </w:tcBorders>
            <w:vAlign w:val="center"/>
          </w:tcPr>
          <w:p w14:paraId="71CB04A8" w14:textId="77777777" w:rsidR="00E86E48" w:rsidRPr="00C20C1A" w:rsidRDefault="00E86E48" w:rsidP="00DB3F6A">
            <w:pPr>
              <w:spacing w:after="0" w:line="240" w:lineRule="auto"/>
              <w:rPr>
                <w:rFonts w:ascii="Calibri" w:eastAsia="Times New Roman" w:hAnsi="Calibri" w:cs="Calibri"/>
                <w:b/>
                <w:bCs/>
                <w:color w:val="000000"/>
              </w:rPr>
            </w:pPr>
          </w:p>
        </w:tc>
        <w:tc>
          <w:tcPr>
            <w:tcW w:w="8010" w:type="dxa"/>
            <w:tcBorders>
              <w:top w:val="dotted" w:sz="4" w:space="0" w:color="auto"/>
              <w:left w:val="nil"/>
              <w:bottom w:val="single" w:sz="8" w:space="0" w:color="auto"/>
              <w:right w:val="single" w:sz="8" w:space="0" w:color="auto"/>
            </w:tcBorders>
            <w:shd w:val="clear" w:color="auto" w:fill="auto"/>
          </w:tcPr>
          <w:p w14:paraId="147E8D4E" w14:textId="581077F2" w:rsidR="00E86E48" w:rsidRDefault="009136C7" w:rsidP="00DB3F6A">
            <w:pPr>
              <w:pStyle w:val="NoSpacing"/>
            </w:pPr>
            <w:r>
              <w:t>30 days after enactment of the CARES Act, the SBA shall issue guidance and regulations implementing this section regarding forgiveness</w:t>
            </w:r>
          </w:p>
        </w:tc>
      </w:tr>
    </w:tbl>
    <w:p w14:paraId="5B26903E" w14:textId="77777777" w:rsidR="00C8799D" w:rsidRDefault="00C8799D" w:rsidP="002C080D"/>
    <w:p w14:paraId="436E32B9" w14:textId="0038F6FD" w:rsidR="001836BC" w:rsidRDefault="001836BC" w:rsidP="00191BE4">
      <w:pPr>
        <w:pStyle w:val="NoSpacing"/>
        <w:spacing w:before="240" w:after="240"/>
        <w:jc w:val="center"/>
      </w:pPr>
      <w:r w:rsidRPr="00345D55">
        <w:rPr>
          <w:b/>
          <w:bCs/>
          <w:sz w:val="28"/>
          <w:szCs w:val="28"/>
        </w:rPr>
        <w:t>LOAN TERMS</w:t>
      </w:r>
    </w:p>
    <w:p w14:paraId="759CCB21" w14:textId="2F05BEB6" w:rsidR="001836BC" w:rsidRDefault="001836BC" w:rsidP="00AF6C69">
      <w:pPr>
        <w:pStyle w:val="NoSpacing"/>
        <w:jc w:val="both"/>
      </w:pPr>
      <w:r>
        <w:t xml:space="preserve">Maximum maturity of loans is 10 years from the date </w:t>
      </w:r>
      <w:r w:rsidR="00713208">
        <w:t xml:space="preserve">the </w:t>
      </w:r>
      <w:r>
        <w:t>borrower applies for loan forgiveness</w:t>
      </w:r>
      <w:r w:rsidR="0040722C">
        <w:t xml:space="preserve">. There </w:t>
      </w:r>
      <w:r>
        <w:t xml:space="preserve">are no prepayment penalties. </w:t>
      </w:r>
      <w:r w:rsidR="00713208">
        <w:t xml:space="preserve">The interest </w:t>
      </w:r>
      <w:r>
        <w:t>rate on the loan shall not exceed 4</w:t>
      </w:r>
      <w:r w:rsidR="00713208">
        <w:t>%</w:t>
      </w:r>
      <w:r>
        <w:t xml:space="preserve">. Payments of principal, interest and fees are deferred for a period of not less than 6 months and not more than 1 year. </w:t>
      </w:r>
    </w:p>
    <w:p w14:paraId="1B29AEB8" w14:textId="77777777" w:rsidR="001836BC" w:rsidRDefault="001836BC" w:rsidP="00AF6C69">
      <w:pPr>
        <w:jc w:val="both"/>
      </w:pPr>
    </w:p>
    <w:p w14:paraId="29209AE4" w14:textId="77777777" w:rsidR="003D4B66" w:rsidRDefault="003D4B66" w:rsidP="003D4B66">
      <w:pPr>
        <w:pStyle w:val="NoSpacing"/>
      </w:pPr>
    </w:p>
    <w:p w14:paraId="62E2F2B2" w14:textId="77777777" w:rsidR="00793D46" w:rsidRDefault="00793D46" w:rsidP="003D4B66">
      <w:pPr>
        <w:pStyle w:val="NoSpacing"/>
      </w:pPr>
    </w:p>
    <w:p w14:paraId="378576A6" w14:textId="77777777" w:rsidR="0007775F" w:rsidRDefault="00F55600">
      <w:r>
        <w:t xml:space="preserve"> </w:t>
      </w:r>
    </w:p>
    <w:sectPr w:rsidR="0007775F" w:rsidSect="00FA6C22">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0D40" w14:textId="77777777" w:rsidR="009C5F11" w:rsidRDefault="009C5F11" w:rsidP="0031685F">
      <w:pPr>
        <w:spacing w:after="0" w:line="240" w:lineRule="auto"/>
      </w:pPr>
      <w:r>
        <w:separator/>
      </w:r>
    </w:p>
  </w:endnote>
  <w:endnote w:type="continuationSeparator" w:id="0">
    <w:p w14:paraId="59583C75" w14:textId="77777777" w:rsidR="009C5F11" w:rsidRDefault="009C5F11" w:rsidP="0031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14249"/>
      <w:docPartObj>
        <w:docPartGallery w:val="Page Numbers (Bottom of Page)"/>
        <w:docPartUnique/>
      </w:docPartObj>
    </w:sdtPr>
    <w:sdtEndPr>
      <w:rPr>
        <w:noProof/>
      </w:rPr>
    </w:sdtEndPr>
    <w:sdtContent>
      <w:p w14:paraId="4B6C2B2B" w14:textId="78CCAD11" w:rsidR="009D35B4" w:rsidRPr="00F81ABD" w:rsidRDefault="009D35B4">
        <w:pPr>
          <w:pStyle w:val="Footer"/>
          <w:jc w:val="right"/>
        </w:pPr>
        <w:r w:rsidRPr="00F81ABD">
          <w:fldChar w:fldCharType="begin"/>
        </w:r>
        <w:r w:rsidRPr="00F81ABD">
          <w:instrText xml:space="preserve"> PAGE   \* MERGEFORMAT </w:instrText>
        </w:r>
        <w:r w:rsidRPr="00F81ABD">
          <w:fldChar w:fldCharType="separate"/>
        </w:r>
        <w:r w:rsidRPr="00F81ABD">
          <w:rPr>
            <w:noProof/>
          </w:rPr>
          <w:t>2</w:t>
        </w:r>
        <w:r w:rsidRPr="00F81ABD">
          <w:rPr>
            <w:noProof/>
          </w:rPr>
          <w:fldChar w:fldCharType="end"/>
        </w:r>
      </w:p>
    </w:sdtContent>
  </w:sdt>
  <w:p w14:paraId="27FD334D" w14:textId="77777777" w:rsidR="009D35B4" w:rsidRDefault="009D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B619" w14:textId="77777777" w:rsidR="009C5F11" w:rsidRDefault="009C5F11" w:rsidP="0031685F">
      <w:pPr>
        <w:spacing w:after="0" w:line="240" w:lineRule="auto"/>
      </w:pPr>
      <w:r>
        <w:separator/>
      </w:r>
    </w:p>
  </w:footnote>
  <w:footnote w:type="continuationSeparator" w:id="0">
    <w:p w14:paraId="1628B825" w14:textId="77777777" w:rsidR="009C5F11" w:rsidRDefault="009C5F11" w:rsidP="0031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CEC6" w14:textId="5C2553B3" w:rsidR="0031685F" w:rsidRDefault="0031685F" w:rsidP="00E54732">
    <w:pPr>
      <w:pStyle w:val="Header"/>
      <w:jc w:val="center"/>
    </w:pPr>
    <w:r>
      <w:rPr>
        <w:noProof/>
      </w:rPr>
      <w:drawing>
        <wp:inline distT="0" distB="0" distL="0" distR="0" wp14:anchorId="1F08E6FA" wp14:editId="770F943F">
          <wp:extent cx="3800475" cy="13478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mp;F_Logo.jpeg"/>
                  <pic:cNvPicPr/>
                </pic:nvPicPr>
                <pic:blipFill rotWithShape="1">
                  <a:blip r:embed="rId1">
                    <a:extLst>
                      <a:ext uri="{28A0092B-C50C-407E-A947-70E740481C1C}">
                        <a14:useLocalDpi xmlns:a14="http://schemas.microsoft.com/office/drawing/2010/main" val="0"/>
                      </a:ext>
                    </a:extLst>
                  </a:blip>
                  <a:srcRect l="3873"/>
                  <a:stretch/>
                </pic:blipFill>
                <pic:spPr bwMode="auto">
                  <a:xfrm>
                    <a:off x="0" y="0"/>
                    <a:ext cx="3851310" cy="13658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D32"/>
    <w:multiLevelType w:val="hybridMultilevel"/>
    <w:tmpl w:val="B810BD3C"/>
    <w:lvl w:ilvl="0" w:tplc="738C38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A1A5D"/>
    <w:multiLevelType w:val="hybridMultilevel"/>
    <w:tmpl w:val="36026DFC"/>
    <w:lvl w:ilvl="0" w:tplc="43E2A9FC">
      <w:start w:val="2"/>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86810"/>
    <w:multiLevelType w:val="hybridMultilevel"/>
    <w:tmpl w:val="EFE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E338E"/>
    <w:multiLevelType w:val="hybridMultilevel"/>
    <w:tmpl w:val="0688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7324F"/>
    <w:multiLevelType w:val="hybridMultilevel"/>
    <w:tmpl w:val="953ED45A"/>
    <w:lvl w:ilvl="0" w:tplc="43E2A9FC">
      <w:start w:val="2"/>
      <w:numFmt w:val="bullet"/>
      <w:lvlText w:val="-"/>
      <w:lvlJc w:val="left"/>
      <w:pPr>
        <w:ind w:left="720" w:hanging="360"/>
      </w:pPr>
      <w:rPr>
        <w:rFonts w:ascii="&amp;quot" w:eastAsia="Times New Roman" w:hAnsi="&amp;quo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00"/>
    <w:rsid w:val="00006F5F"/>
    <w:rsid w:val="00010FE6"/>
    <w:rsid w:val="00032535"/>
    <w:rsid w:val="00037838"/>
    <w:rsid w:val="00054984"/>
    <w:rsid w:val="00061CDF"/>
    <w:rsid w:val="00070C02"/>
    <w:rsid w:val="0007775F"/>
    <w:rsid w:val="000822D5"/>
    <w:rsid w:val="00090E2F"/>
    <w:rsid w:val="00092077"/>
    <w:rsid w:val="000938AA"/>
    <w:rsid w:val="000A20EA"/>
    <w:rsid w:val="000B36C3"/>
    <w:rsid w:val="000F2B03"/>
    <w:rsid w:val="001332CB"/>
    <w:rsid w:val="001438FD"/>
    <w:rsid w:val="001836BC"/>
    <w:rsid w:val="00191BE4"/>
    <w:rsid w:val="001A4B0B"/>
    <w:rsid w:val="002224A1"/>
    <w:rsid w:val="0025153C"/>
    <w:rsid w:val="002B03F7"/>
    <w:rsid w:val="002C080D"/>
    <w:rsid w:val="002F1E30"/>
    <w:rsid w:val="0031019A"/>
    <w:rsid w:val="0031685F"/>
    <w:rsid w:val="00345D55"/>
    <w:rsid w:val="00371252"/>
    <w:rsid w:val="003713EC"/>
    <w:rsid w:val="00393C5C"/>
    <w:rsid w:val="003A26DD"/>
    <w:rsid w:val="003D4B66"/>
    <w:rsid w:val="003D684C"/>
    <w:rsid w:val="003E2580"/>
    <w:rsid w:val="003F0412"/>
    <w:rsid w:val="0040722C"/>
    <w:rsid w:val="004079D8"/>
    <w:rsid w:val="004352CA"/>
    <w:rsid w:val="004535D4"/>
    <w:rsid w:val="004576D7"/>
    <w:rsid w:val="00461F8B"/>
    <w:rsid w:val="00495325"/>
    <w:rsid w:val="004F643B"/>
    <w:rsid w:val="004F706A"/>
    <w:rsid w:val="00525E61"/>
    <w:rsid w:val="00543E8D"/>
    <w:rsid w:val="00575A9F"/>
    <w:rsid w:val="00577C0E"/>
    <w:rsid w:val="00677DDA"/>
    <w:rsid w:val="006811AD"/>
    <w:rsid w:val="006A1041"/>
    <w:rsid w:val="006A32A6"/>
    <w:rsid w:val="00713208"/>
    <w:rsid w:val="0071440B"/>
    <w:rsid w:val="007739D4"/>
    <w:rsid w:val="00775A0B"/>
    <w:rsid w:val="00793D46"/>
    <w:rsid w:val="007B5C4E"/>
    <w:rsid w:val="007C29CE"/>
    <w:rsid w:val="007C7B1A"/>
    <w:rsid w:val="00815865"/>
    <w:rsid w:val="00824F67"/>
    <w:rsid w:val="00827BC9"/>
    <w:rsid w:val="00885070"/>
    <w:rsid w:val="008D0227"/>
    <w:rsid w:val="009136C7"/>
    <w:rsid w:val="00965F32"/>
    <w:rsid w:val="00976FAB"/>
    <w:rsid w:val="009A6E14"/>
    <w:rsid w:val="009C5F11"/>
    <w:rsid w:val="009D35B4"/>
    <w:rsid w:val="009F1E02"/>
    <w:rsid w:val="00A316CF"/>
    <w:rsid w:val="00A46A37"/>
    <w:rsid w:val="00AE0D18"/>
    <w:rsid w:val="00AF68BF"/>
    <w:rsid w:val="00AF6C69"/>
    <w:rsid w:val="00B05025"/>
    <w:rsid w:val="00B22B9F"/>
    <w:rsid w:val="00B25058"/>
    <w:rsid w:val="00B310A6"/>
    <w:rsid w:val="00B33D99"/>
    <w:rsid w:val="00B42844"/>
    <w:rsid w:val="00B5618E"/>
    <w:rsid w:val="00B76803"/>
    <w:rsid w:val="00B7742A"/>
    <w:rsid w:val="00B83166"/>
    <w:rsid w:val="00B84E36"/>
    <w:rsid w:val="00B9031C"/>
    <w:rsid w:val="00BD1A72"/>
    <w:rsid w:val="00BD20CC"/>
    <w:rsid w:val="00BE27C7"/>
    <w:rsid w:val="00BF44E4"/>
    <w:rsid w:val="00C106AD"/>
    <w:rsid w:val="00C20C1A"/>
    <w:rsid w:val="00C47FD3"/>
    <w:rsid w:val="00C5591C"/>
    <w:rsid w:val="00C73FDB"/>
    <w:rsid w:val="00C8799D"/>
    <w:rsid w:val="00CA5205"/>
    <w:rsid w:val="00CB3391"/>
    <w:rsid w:val="00CE759E"/>
    <w:rsid w:val="00D00C9B"/>
    <w:rsid w:val="00D15063"/>
    <w:rsid w:val="00D351D0"/>
    <w:rsid w:val="00D545AC"/>
    <w:rsid w:val="00D60228"/>
    <w:rsid w:val="00D76E31"/>
    <w:rsid w:val="00D94063"/>
    <w:rsid w:val="00DC0B59"/>
    <w:rsid w:val="00DD1C0C"/>
    <w:rsid w:val="00DF0B14"/>
    <w:rsid w:val="00E13EC7"/>
    <w:rsid w:val="00E20052"/>
    <w:rsid w:val="00E439F7"/>
    <w:rsid w:val="00E54732"/>
    <w:rsid w:val="00E60F0D"/>
    <w:rsid w:val="00E86E48"/>
    <w:rsid w:val="00E97AFD"/>
    <w:rsid w:val="00EA70B6"/>
    <w:rsid w:val="00ED1C03"/>
    <w:rsid w:val="00EE4609"/>
    <w:rsid w:val="00EE7081"/>
    <w:rsid w:val="00EF24CC"/>
    <w:rsid w:val="00F55600"/>
    <w:rsid w:val="00F73D97"/>
    <w:rsid w:val="00F81ABD"/>
    <w:rsid w:val="00F96D95"/>
    <w:rsid w:val="00FA4133"/>
    <w:rsid w:val="00FA6C22"/>
    <w:rsid w:val="00FA6CB1"/>
    <w:rsid w:val="00FB6231"/>
    <w:rsid w:val="00FD677B"/>
    <w:rsid w:val="00FE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C289"/>
  <w15:chartTrackingRefBased/>
  <w15:docId w15:val="{B7768225-030D-411B-BAA8-FFAFD860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46"/>
    <w:pPr>
      <w:spacing w:line="256" w:lineRule="auto"/>
      <w:ind w:left="720"/>
      <w:contextualSpacing/>
    </w:pPr>
  </w:style>
  <w:style w:type="paragraph" w:styleId="NoSpacing">
    <w:name w:val="No Spacing"/>
    <w:uiPriority w:val="1"/>
    <w:qFormat/>
    <w:rsid w:val="00A46A37"/>
    <w:pPr>
      <w:spacing w:after="0" w:line="240" w:lineRule="auto"/>
    </w:pPr>
  </w:style>
  <w:style w:type="paragraph" w:styleId="BalloonText">
    <w:name w:val="Balloon Text"/>
    <w:basedOn w:val="Normal"/>
    <w:link w:val="BalloonTextChar"/>
    <w:uiPriority w:val="99"/>
    <w:semiHidden/>
    <w:unhideWhenUsed/>
    <w:rsid w:val="00B7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03"/>
    <w:rPr>
      <w:rFonts w:ascii="Segoe UI" w:hAnsi="Segoe UI" w:cs="Segoe UI"/>
      <w:sz w:val="18"/>
      <w:szCs w:val="18"/>
    </w:rPr>
  </w:style>
  <w:style w:type="character" w:styleId="CommentReference">
    <w:name w:val="annotation reference"/>
    <w:basedOn w:val="DefaultParagraphFont"/>
    <w:uiPriority w:val="99"/>
    <w:semiHidden/>
    <w:unhideWhenUsed/>
    <w:rsid w:val="00070C02"/>
    <w:rPr>
      <w:sz w:val="16"/>
      <w:szCs w:val="16"/>
    </w:rPr>
  </w:style>
  <w:style w:type="paragraph" w:styleId="CommentText">
    <w:name w:val="annotation text"/>
    <w:basedOn w:val="Normal"/>
    <w:link w:val="CommentTextChar"/>
    <w:uiPriority w:val="99"/>
    <w:semiHidden/>
    <w:unhideWhenUsed/>
    <w:rsid w:val="00070C02"/>
    <w:pPr>
      <w:spacing w:line="240" w:lineRule="auto"/>
    </w:pPr>
    <w:rPr>
      <w:sz w:val="20"/>
      <w:szCs w:val="20"/>
    </w:rPr>
  </w:style>
  <w:style w:type="character" w:customStyle="1" w:styleId="CommentTextChar">
    <w:name w:val="Comment Text Char"/>
    <w:basedOn w:val="DefaultParagraphFont"/>
    <w:link w:val="CommentText"/>
    <w:uiPriority w:val="99"/>
    <w:semiHidden/>
    <w:rsid w:val="00070C02"/>
    <w:rPr>
      <w:sz w:val="20"/>
      <w:szCs w:val="20"/>
    </w:rPr>
  </w:style>
  <w:style w:type="paragraph" w:styleId="CommentSubject">
    <w:name w:val="annotation subject"/>
    <w:basedOn w:val="CommentText"/>
    <w:next w:val="CommentText"/>
    <w:link w:val="CommentSubjectChar"/>
    <w:uiPriority w:val="99"/>
    <w:semiHidden/>
    <w:unhideWhenUsed/>
    <w:rsid w:val="00070C02"/>
    <w:rPr>
      <w:b/>
      <w:bCs/>
    </w:rPr>
  </w:style>
  <w:style w:type="character" w:customStyle="1" w:styleId="CommentSubjectChar">
    <w:name w:val="Comment Subject Char"/>
    <w:basedOn w:val="CommentTextChar"/>
    <w:link w:val="CommentSubject"/>
    <w:uiPriority w:val="99"/>
    <w:semiHidden/>
    <w:rsid w:val="00070C02"/>
    <w:rPr>
      <w:b/>
      <w:bCs/>
      <w:sz w:val="20"/>
      <w:szCs w:val="20"/>
    </w:rPr>
  </w:style>
  <w:style w:type="paragraph" w:styleId="Header">
    <w:name w:val="header"/>
    <w:basedOn w:val="Normal"/>
    <w:link w:val="HeaderChar"/>
    <w:uiPriority w:val="99"/>
    <w:unhideWhenUsed/>
    <w:rsid w:val="0031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5F"/>
  </w:style>
  <w:style w:type="paragraph" w:styleId="Footer">
    <w:name w:val="footer"/>
    <w:basedOn w:val="Normal"/>
    <w:link w:val="FooterChar"/>
    <w:uiPriority w:val="99"/>
    <w:unhideWhenUsed/>
    <w:rsid w:val="0031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5F"/>
  </w:style>
  <w:style w:type="table" w:styleId="TableGrid">
    <w:name w:val="Table Grid"/>
    <w:basedOn w:val="TableNormal"/>
    <w:uiPriority w:val="39"/>
    <w:rsid w:val="0008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266">
      <w:bodyDiv w:val="1"/>
      <w:marLeft w:val="0"/>
      <w:marRight w:val="0"/>
      <w:marTop w:val="0"/>
      <w:marBottom w:val="0"/>
      <w:divBdr>
        <w:top w:val="none" w:sz="0" w:space="0" w:color="auto"/>
        <w:left w:val="none" w:sz="0" w:space="0" w:color="auto"/>
        <w:bottom w:val="none" w:sz="0" w:space="0" w:color="auto"/>
        <w:right w:val="none" w:sz="0" w:space="0" w:color="auto"/>
      </w:divBdr>
    </w:div>
    <w:div w:id="133640539">
      <w:bodyDiv w:val="1"/>
      <w:marLeft w:val="0"/>
      <w:marRight w:val="0"/>
      <w:marTop w:val="0"/>
      <w:marBottom w:val="0"/>
      <w:divBdr>
        <w:top w:val="none" w:sz="0" w:space="0" w:color="auto"/>
        <w:left w:val="none" w:sz="0" w:space="0" w:color="auto"/>
        <w:bottom w:val="none" w:sz="0" w:space="0" w:color="auto"/>
        <w:right w:val="none" w:sz="0" w:space="0" w:color="auto"/>
      </w:divBdr>
    </w:div>
    <w:div w:id="347945053">
      <w:bodyDiv w:val="1"/>
      <w:marLeft w:val="0"/>
      <w:marRight w:val="0"/>
      <w:marTop w:val="0"/>
      <w:marBottom w:val="0"/>
      <w:divBdr>
        <w:top w:val="none" w:sz="0" w:space="0" w:color="auto"/>
        <w:left w:val="none" w:sz="0" w:space="0" w:color="auto"/>
        <w:bottom w:val="none" w:sz="0" w:space="0" w:color="auto"/>
        <w:right w:val="none" w:sz="0" w:space="0" w:color="auto"/>
      </w:divBdr>
    </w:div>
    <w:div w:id="809716214">
      <w:bodyDiv w:val="1"/>
      <w:marLeft w:val="0"/>
      <w:marRight w:val="0"/>
      <w:marTop w:val="0"/>
      <w:marBottom w:val="0"/>
      <w:divBdr>
        <w:top w:val="none" w:sz="0" w:space="0" w:color="auto"/>
        <w:left w:val="none" w:sz="0" w:space="0" w:color="auto"/>
        <w:bottom w:val="none" w:sz="0" w:space="0" w:color="auto"/>
        <w:right w:val="none" w:sz="0" w:space="0" w:color="auto"/>
      </w:divBdr>
    </w:div>
    <w:div w:id="828863413">
      <w:bodyDiv w:val="1"/>
      <w:marLeft w:val="0"/>
      <w:marRight w:val="0"/>
      <w:marTop w:val="0"/>
      <w:marBottom w:val="0"/>
      <w:divBdr>
        <w:top w:val="none" w:sz="0" w:space="0" w:color="auto"/>
        <w:left w:val="none" w:sz="0" w:space="0" w:color="auto"/>
        <w:bottom w:val="none" w:sz="0" w:space="0" w:color="auto"/>
        <w:right w:val="none" w:sz="0" w:space="0" w:color="auto"/>
      </w:divBdr>
    </w:div>
    <w:div w:id="862982733">
      <w:bodyDiv w:val="1"/>
      <w:marLeft w:val="0"/>
      <w:marRight w:val="0"/>
      <w:marTop w:val="0"/>
      <w:marBottom w:val="0"/>
      <w:divBdr>
        <w:top w:val="none" w:sz="0" w:space="0" w:color="auto"/>
        <w:left w:val="none" w:sz="0" w:space="0" w:color="auto"/>
        <w:bottom w:val="none" w:sz="0" w:space="0" w:color="auto"/>
        <w:right w:val="none" w:sz="0" w:space="0" w:color="auto"/>
      </w:divBdr>
    </w:div>
    <w:div w:id="894311602">
      <w:bodyDiv w:val="1"/>
      <w:marLeft w:val="0"/>
      <w:marRight w:val="0"/>
      <w:marTop w:val="0"/>
      <w:marBottom w:val="0"/>
      <w:divBdr>
        <w:top w:val="none" w:sz="0" w:space="0" w:color="auto"/>
        <w:left w:val="none" w:sz="0" w:space="0" w:color="auto"/>
        <w:bottom w:val="none" w:sz="0" w:space="0" w:color="auto"/>
        <w:right w:val="none" w:sz="0" w:space="0" w:color="auto"/>
      </w:divBdr>
    </w:div>
    <w:div w:id="1597205083">
      <w:bodyDiv w:val="1"/>
      <w:marLeft w:val="0"/>
      <w:marRight w:val="0"/>
      <w:marTop w:val="0"/>
      <w:marBottom w:val="0"/>
      <w:divBdr>
        <w:top w:val="none" w:sz="0" w:space="0" w:color="auto"/>
        <w:left w:val="none" w:sz="0" w:space="0" w:color="auto"/>
        <w:bottom w:val="none" w:sz="0" w:space="0" w:color="auto"/>
        <w:right w:val="none" w:sz="0" w:space="0" w:color="auto"/>
      </w:divBdr>
    </w:div>
    <w:div w:id="1980643174">
      <w:bodyDiv w:val="1"/>
      <w:marLeft w:val="0"/>
      <w:marRight w:val="0"/>
      <w:marTop w:val="0"/>
      <w:marBottom w:val="0"/>
      <w:divBdr>
        <w:top w:val="none" w:sz="0" w:space="0" w:color="auto"/>
        <w:left w:val="none" w:sz="0" w:space="0" w:color="auto"/>
        <w:bottom w:val="none" w:sz="0" w:space="0" w:color="auto"/>
        <w:right w:val="none" w:sz="0" w:space="0" w:color="auto"/>
      </w:divBdr>
    </w:div>
    <w:div w:id="20205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FB0639B139B46B3D0E117FD073B2E" ma:contentTypeVersion="10" ma:contentTypeDescription="Create a new document." ma:contentTypeScope="" ma:versionID="be4754429054a8859a39af26a82bd0da">
  <xsd:schema xmlns:xsd="http://www.w3.org/2001/XMLSchema" xmlns:xs="http://www.w3.org/2001/XMLSchema" xmlns:p="http://schemas.microsoft.com/office/2006/metadata/properties" xmlns:ns3="64bce63b-aa99-47be-b3b8-613682cf3b70" targetNamespace="http://schemas.microsoft.com/office/2006/metadata/properties" ma:root="true" ma:fieldsID="3e938a541cd5692f11fac58949aea992" ns3:_="">
    <xsd:import namespace="64bce63b-aa99-47be-b3b8-613682cf3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ce63b-aa99-47be-b3b8-613682cf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70963-38EB-4F59-BCD2-35FE87775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C52D1-B8DB-4E88-95FB-07830D5E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ce63b-aa99-47be-b3b8-613682cf3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3F321-83CD-406C-ACE2-ACF20555E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Oremus, Richard</dc:creator>
  <cp:keywords/>
  <dc:description/>
  <cp:lastModifiedBy>Beditz, Margret</cp:lastModifiedBy>
  <cp:revision>68</cp:revision>
  <cp:lastPrinted>2020-03-30T13:52:00Z</cp:lastPrinted>
  <dcterms:created xsi:type="dcterms:W3CDTF">2020-03-31T15:24:00Z</dcterms:created>
  <dcterms:modified xsi:type="dcterms:W3CDTF">2020-03-31T21:19:00Z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0x01010024AFB0639B139B46B3D0E117FD073B2E</vt:lpwstr>
  </property>
</Properties>
</file>